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3AB10" w14:textId="77777777" w:rsidR="003B4276" w:rsidRDefault="003B4276" w:rsidP="007E64A2">
      <w:pPr>
        <w:pStyle w:val="BodyText"/>
        <w:spacing w:after="0" w:line="240" w:lineRule="auto"/>
        <w:ind w:left="-142"/>
        <w:jc w:val="left"/>
        <w:sectPr w:rsidR="003B4276" w:rsidSect="00176881">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2" w:right="1418" w:bottom="1418" w:left="1418" w:header="680" w:footer="624" w:gutter="0"/>
          <w:cols w:space="708"/>
          <w:titlePg/>
          <w:docGrid w:linePitch="326"/>
        </w:sectPr>
      </w:pPr>
    </w:p>
    <w:p w14:paraId="44F663E6" w14:textId="77777777" w:rsidR="003D6C48" w:rsidRDefault="003D6C48" w:rsidP="003D6C48"/>
    <w:p w14:paraId="3B63354A" w14:textId="77777777" w:rsidR="005A7925" w:rsidRDefault="00090D8D" w:rsidP="005C7525">
      <w:pPr>
        <w:jc w:val="left"/>
        <w:rPr>
          <w:sz w:val="22"/>
        </w:rPr>
      </w:pPr>
      <w:r>
        <w:rPr>
          <w:noProof/>
          <w:lang w:eastAsia="et-EE"/>
        </w:rPr>
        <w:drawing>
          <wp:anchor distT="0" distB="0" distL="114300" distR="114300" simplePos="0" relativeHeight="251658240" behindDoc="0" locked="0" layoutInCell="1" allowOverlap="1" wp14:anchorId="519D784A" wp14:editId="211C82CE">
            <wp:simplePos x="0" y="0"/>
            <wp:positionH relativeFrom="margin">
              <wp:align>left</wp:align>
            </wp:positionH>
            <wp:positionV relativeFrom="paragraph">
              <wp:posOffset>20955</wp:posOffset>
            </wp:positionV>
            <wp:extent cx="893129" cy="811987"/>
            <wp:effectExtent l="0" t="0" r="2540" b="7620"/>
            <wp:wrapThrough wrapText="bothSides">
              <wp:wrapPolygon edited="0">
                <wp:start x="0" y="0"/>
                <wp:lineTo x="0" y="21296"/>
                <wp:lineTo x="21201" y="21296"/>
                <wp:lineTo x="2120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93129" cy="811987"/>
                    </a:xfrm>
                    <a:prstGeom prst="rect">
                      <a:avLst/>
                    </a:prstGeom>
                  </pic:spPr>
                </pic:pic>
              </a:graphicData>
            </a:graphic>
            <wp14:sizeRelH relativeFrom="page">
              <wp14:pctWidth>0</wp14:pctWidth>
            </wp14:sizeRelH>
            <wp14:sizeRelV relativeFrom="page">
              <wp14:pctHeight>0</wp14:pctHeight>
            </wp14:sizeRelV>
          </wp:anchor>
        </w:drawing>
      </w:r>
    </w:p>
    <w:p w14:paraId="68001D57" w14:textId="77777777" w:rsidR="000D008B" w:rsidRDefault="000D008B" w:rsidP="005C7525">
      <w:pPr>
        <w:jc w:val="left"/>
        <w:rPr>
          <w:sz w:val="22"/>
        </w:rPr>
      </w:pPr>
    </w:p>
    <w:p w14:paraId="67727B0E" w14:textId="77777777" w:rsidR="000D008B" w:rsidRDefault="000D008B" w:rsidP="005C7525">
      <w:pPr>
        <w:jc w:val="left"/>
        <w:rPr>
          <w:sz w:val="22"/>
        </w:rPr>
      </w:pPr>
    </w:p>
    <w:p w14:paraId="2DE7A9DE" w14:textId="77777777" w:rsidR="000D008B" w:rsidRDefault="000D008B" w:rsidP="005C7525">
      <w:pPr>
        <w:jc w:val="left"/>
        <w:rPr>
          <w:sz w:val="22"/>
        </w:rPr>
      </w:pPr>
    </w:p>
    <w:p w14:paraId="2B6C8510" w14:textId="77777777" w:rsidR="000D008B" w:rsidRDefault="000D008B" w:rsidP="005C7525">
      <w:pPr>
        <w:jc w:val="left"/>
        <w:rPr>
          <w:sz w:val="22"/>
        </w:rPr>
      </w:pPr>
    </w:p>
    <w:p w14:paraId="7D39815D" w14:textId="77777777" w:rsidR="000D008B" w:rsidRDefault="000D008B" w:rsidP="005C7525">
      <w:pPr>
        <w:jc w:val="left"/>
        <w:rPr>
          <w:sz w:val="22"/>
        </w:rPr>
      </w:pPr>
    </w:p>
    <w:p w14:paraId="2224C2B9" w14:textId="77777777" w:rsidR="00305DE1" w:rsidRDefault="00305DE1" w:rsidP="005C7525">
      <w:pPr>
        <w:jc w:val="left"/>
        <w:rPr>
          <w:sz w:val="22"/>
        </w:rPr>
      </w:pPr>
    </w:p>
    <w:p w14:paraId="774F0972" w14:textId="77777777" w:rsidR="00305DE1" w:rsidRDefault="00305DE1" w:rsidP="005C7525">
      <w:pPr>
        <w:jc w:val="left"/>
        <w:rPr>
          <w:sz w:val="22"/>
        </w:rPr>
      </w:pPr>
    </w:p>
    <w:p w14:paraId="2E2A5D3E" w14:textId="77777777" w:rsidR="00D57137" w:rsidRDefault="00D57137">
      <w:pPr>
        <w:rPr>
          <w:szCs w:val="24"/>
        </w:rPr>
      </w:pPr>
    </w:p>
    <w:p w14:paraId="2A47CCB2" w14:textId="77777777" w:rsidR="0060454D" w:rsidRDefault="0060454D">
      <w:pPr>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75"/>
      </w:tblGrid>
      <w:tr w:rsidR="00B13248" w14:paraId="3CB3EE03" w14:textId="77777777" w:rsidTr="00EF7493">
        <w:tc>
          <w:tcPr>
            <w:tcW w:w="5387" w:type="dxa"/>
          </w:tcPr>
          <w:p w14:paraId="1F8492D8" w14:textId="77777777" w:rsidR="00ED3814" w:rsidRPr="00ED3814" w:rsidRDefault="00ED3814">
            <w:pPr>
              <w:rPr>
                <w:rFonts w:ascii="Times New Roman" w:hAnsi="Times New Roman" w:cs="Times New Roman"/>
                <w:szCs w:val="24"/>
              </w:rPr>
            </w:pPr>
          </w:p>
        </w:tc>
        <w:tc>
          <w:tcPr>
            <w:tcW w:w="3675" w:type="dxa"/>
          </w:tcPr>
          <w:p w14:paraId="3C023B91" w14:textId="77777777" w:rsidR="00ED3814" w:rsidRPr="00ED3814" w:rsidRDefault="00090D8D" w:rsidP="00ED3814">
            <w:pPr>
              <w:tabs>
                <w:tab w:val="left" w:pos="4820"/>
              </w:tabs>
              <w:rPr>
                <w:rFonts w:ascii="Times New Roman" w:hAnsi="Times New Roman" w:cs="Times New Roman"/>
                <w:szCs w:val="24"/>
              </w:rPr>
            </w:pPr>
            <w:r>
              <w:rPr>
                <w:rFonts w:ascii="Times New Roman" w:eastAsia="Times New Roman" w:hAnsi="Times New Roman" w:cs="Times New Roman"/>
                <w:szCs w:val="24"/>
                <w:lang w:val="en-GB"/>
              </w:rPr>
              <w:t xml:space="preserve">  </w:t>
            </w:r>
            <w:r w:rsidRPr="00ED3814">
              <w:rPr>
                <w:szCs w:val="24"/>
              </w:rPr>
              <w:fldChar w:fldCharType="begin"/>
            </w:r>
            <w:r w:rsidR="00437580">
              <w:rPr>
                <w:rFonts w:ascii="Times New Roman" w:hAnsi="Times New Roman" w:cs="Times New Roman"/>
                <w:szCs w:val="24"/>
              </w:rPr>
              <w:instrText xml:space="preserve"> delta_regDateTime  \* MERGEFORMAT</w:instrText>
            </w:r>
            <w:r w:rsidRPr="00ED3814">
              <w:rPr>
                <w:szCs w:val="24"/>
              </w:rPr>
              <w:fldChar w:fldCharType="separate"/>
            </w:r>
            <w:r>
              <w:rPr>
                <w:rFonts w:ascii="Times New Roman" w:eastAsia="Times New Roman" w:hAnsi="Times New Roman" w:cs="Times New Roman"/>
                <w:szCs w:val="24"/>
                <w:lang w:val="en-GB"/>
              </w:rPr>
              <w:t>{</w:t>
            </w:r>
            <w:proofErr w:type="spellStart"/>
            <w:r>
              <w:rPr>
                <w:rFonts w:ascii="Times New Roman" w:eastAsia="Times New Roman" w:hAnsi="Times New Roman" w:cs="Times New Roman"/>
                <w:szCs w:val="24"/>
                <w:lang w:val="en-GB"/>
              </w:rPr>
              <w:t>regDateTime</w:t>
            </w:r>
            <w:proofErr w:type="spellEnd"/>
            <w:r>
              <w:rPr>
                <w:rFonts w:ascii="Times New Roman" w:eastAsia="Times New Roman" w:hAnsi="Times New Roman" w:cs="Times New Roman"/>
                <w:szCs w:val="24"/>
                <w:lang w:val="en-GB"/>
              </w:rPr>
              <w:t>}</w:t>
            </w:r>
            <w:r w:rsidRPr="00ED3814">
              <w:rPr>
                <w:szCs w:val="24"/>
              </w:rPr>
              <w:fldChar w:fldCharType="end"/>
            </w:r>
            <w:r>
              <w:rPr>
                <w:rFonts w:ascii="Times New Roman" w:eastAsia="Times New Roman" w:hAnsi="Times New Roman" w:cs="Times New Roman"/>
                <w:szCs w:val="24"/>
                <w:lang w:val="en-GB"/>
              </w:rPr>
              <w:t xml:space="preserve"> No. </w:t>
            </w:r>
            <w:r w:rsidRPr="00ED3814">
              <w:rPr>
                <w:szCs w:val="24"/>
              </w:rPr>
              <w:fldChar w:fldCharType="begin"/>
            </w:r>
            <w:r w:rsidR="00437580">
              <w:rPr>
                <w:rFonts w:ascii="Times New Roman" w:hAnsi="Times New Roman" w:cs="Times New Roman"/>
                <w:szCs w:val="24"/>
              </w:rPr>
              <w:instrText xml:space="preserve"> delta_regNumber  \* MERGEFORMAT</w:instrText>
            </w:r>
            <w:r w:rsidRPr="00ED3814">
              <w:rPr>
                <w:szCs w:val="24"/>
              </w:rPr>
              <w:fldChar w:fldCharType="separate"/>
            </w:r>
            <w:r>
              <w:rPr>
                <w:rFonts w:ascii="Times New Roman" w:eastAsia="Times New Roman" w:hAnsi="Times New Roman" w:cs="Times New Roman"/>
                <w:szCs w:val="24"/>
                <w:lang w:val="en-GB"/>
              </w:rPr>
              <w:t>{</w:t>
            </w:r>
            <w:proofErr w:type="spellStart"/>
            <w:r>
              <w:rPr>
                <w:rFonts w:ascii="Times New Roman" w:eastAsia="Times New Roman" w:hAnsi="Times New Roman" w:cs="Times New Roman"/>
                <w:szCs w:val="24"/>
                <w:lang w:val="en-GB"/>
              </w:rPr>
              <w:t>regNumber</w:t>
            </w:r>
            <w:proofErr w:type="spellEnd"/>
            <w:r>
              <w:rPr>
                <w:rFonts w:ascii="Times New Roman" w:eastAsia="Times New Roman" w:hAnsi="Times New Roman" w:cs="Times New Roman"/>
                <w:szCs w:val="24"/>
                <w:lang w:val="en-GB"/>
              </w:rPr>
              <w:t>}</w:t>
            </w:r>
            <w:r w:rsidRPr="00ED3814">
              <w:rPr>
                <w:szCs w:val="24"/>
              </w:rPr>
              <w:fldChar w:fldCharType="end"/>
            </w:r>
          </w:p>
        </w:tc>
      </w:tr>
    </w:tbl>
    <w:p w14:paraId="5DBEB5BD" w14:textId="77777777" w:rsidR="00D57137" w:rsidRDefault="00D57137">
      <w:pPr>
        <w:rPr>
          <w:szCs w:val="24"/>
        </w:rPr>
      </w:pPr>
    </w:p>
    <w:p w14:paraId="784F0CE4" w14:textId="77777777" w:rsidR="00D57137" w:rsidRDefault="00D57137">
      <w:pPr>
        <w:rPr>
          <w:szCs w:val="24"/>
        </w:rPr>
      </w:pPr>
    </w:p>
    <w:p w14:paraId="0BAE82FD" w14:textId="77777777" w:rsidR="00D57137" w:rsidRDefault="00D57137">
      <w:pPr>
        <w:rPr>
          <w:szCs w:val="24"/>
        </w:rPr>
      </w:pPr>
    </w:p>
    <w:p w14:paraId="40E3D6A3" w14:textId="31638DFA" w:rsidR="005A7925" w:rsidRPr="000A0487" w:rsidRDefault="00090D8D">
      <w:pPr>
        <w:rPr>
          <w:b/>
          <w:szCs w:val="24"/>
        </w:rPr>
      </w:pPr>
      <w:r>
        <w:rPr>
          <w:b/>
          <w:bCs/>
          <w:szCs w:val="24"/>
          <w:lang w:val="en-GB"/>
        </w:rPr>
        <w:t xml:space="preserve"> </w:t>
      </w:r>
      <w:r w:rsidRPr="000A0487">
        <w:rPr>
          <w:b/>
          <w:szCs w:val="24"/>
        </w:rPr>
        <w:fldChar w:fldCharType="begin"/>
      </w:r>
      <w:r w:rsidR="00437580" w:rsidRPr="000A0487">
        <w:rPr>
          <w:b/>
          <w:szCs w:val="24"/>
        </w:rPr>
        <w:instrText xml:space="preserve"> delta_docName  \* MERGEFORMAT</w:instrText>
      </w:r>
      <w:r w:rsidRPr="000A0487">
        <w:rPr>
          <w:b/>
          <w:szCs w:val="24"/>
        </w:rPr>
        <w:fldChar w:fldCharType="separate"/>
      </w:r>
      <w:r>
        <w:rPr>
          <w:b/>
          <w:bCs/>
          <w:szCs w:val="24"/>
          <w:lang w:val="en-GB"/>
        </w:rPr>
        <w:t xml:space="preserve">Conduct of negotiated public procurement without publication of a </w:t>
      </w:r>
      <w:r w:rsidR="00CA0A60">
        <w:rPr>
          <w:b/>
          <w:bCs/>
          <w:szCs w:val="24"/>
          <w:lang w:val="en-GB"/>
        </w:rPr>
        <w:t>contract</w:t>
      </w:r>
      <w:r>
        <w:rPr>
          <w:b/>
          <w:bCs/>
          <w:szCs w:val="24"/>
          <w:lang w:val="en-GB"/>
        </w:rPr>
        <w:t xml:space="preserve"> notice "Framework Procurement of </w:t>
      </w:r>
      <w:r w:rsidR="00506A6C">
        <w:rPr>
          <w:b/>
          <w:bCs/>
          <w:szCs w:val="24"/>
          <w:lang w:val="en-GB"/>
        </w:rPr>
        <w:t>Self-service kiosk for Border Control Point</w:t>
      </w:r>
      <w:r>
        <w:rPr>
          <w:b/>
          <w:bCs/>
          <w:szCs w:val="24"/>
          <w:lang w:val="en-GB"/>
        </w:rPr>
        <w:t xml:space="preserve">s" (reference number 248377) </w:t>
      </w:r>
      <w:r w:rsidRPr="000A0487">
        <w:rPr>
          <w:b/>
          <w:szCs w:val="24"/>
        </w:rPr>
        <w:fldChar w:fldCharType="end"/>
      </w:r>
      <w:r>
        <w:rPr>
          <w:b/>
          <w:bCs/>
          <w:szCs w:val="24"/>
          <w:lang w:val="en-GB"/>
        </w:rPr>
        <w:t xml:space="preserve"> </w:t>
      </w:r>
    </w:p>
    <w:p w14:paraId="7FAE03ED" w14:textId="77777777" w:rsidR="007B7ACA" w:rsidRDefault="007B7ACA"/>
    <w:p w14:paraId="51D99DB2" w14:textId="68F8A96E" w:rsidR="008606C5" w:rsidRPr="00464375" w:rsidRDefault="00090D8D" w:rsidP="008606C5">
      <w:pPr>
        <w:rPr>
          <w:szCs w:val="24"/>
          <w:lang w:eastAsia="et-EE"/>
        </w:rPr>
      </w:pPr>
      <w:r>
        <w:rPr>
          <w:szCs w:val="24"/>
          <w:lang w:val="en-GB" w:eastAsia="et-EE"/>
        </w:rPr>
        <w:t>The Information Technology and Development Centr</w:t>
      </w:r>
      <w:r w:rsidR="00E84820">
        <w:rPr>
          <w:szCs w:val="24"/>
          <w:lang w:val="en-GB" w:eastAsia="et-EE"/>
        </w:rPr>
        <w:t>e</w:t>
      </w:r>
      <w:r>
        <w:rPr>
          <w:szCs w:val="24"/>
          <w:lang w:val="en-GB" w:eastAsia="et-EE"/>
        </w:rPr>
        <w:t xml:space="preserve"> of the Ministry of the Interior (hereinafter referred to as SMIT or the </w:t>
      </w:r>
      <w:r w:rsidR="00CA0A60">
        <w:rPr>
          <w:szCs w:val="24"/>
          <w:lang w:val="en-GB" w:eastAsia="et-EE"/>
        </w:rPr>
        <w:t>Contract</w:t>
      </w:r>
      <w:r w:rsidR="00B6720A">
        <w:rPr>
          <w:szCs w:val="24"/>
          <w:lang w:val="en-GB" w:eastAsia="et-EE"/>
        </w:rPr>
        <w:t>ing authority</w:t>
      </w:r>
      <w:r>
        <w:rPr>
          <w:szCs w:val="24"/>
          <w:lang w:val="en-GB" w:eastAsia="et-EE"/>
        </w:rPr>
        <w:t xml:space="preserve">) organises a  negotiated public procurement procedure without prior publication of a </w:t>
      </w:r>
      <w:r w:rsidR="00CA0A60">
        <w:rPr>
          <w:szCs w:val="24"/>
          <w:lang w:val="en-GB" w:eastAsia="et-EE"/>
        </w:rPr>
        <w:t>contract</w:t>
      </w:r>
      <w:r>
        <w:rPr>
          <w:szCs w:val="24"/>
          <w:lang w:val="en-GB" w:eastAsia="et-EE"/>
        </w:rPr>
        <w:t xml:space="preserve"> notice "Framework Procurement of </w:t>
      </w:r>
      <w:r w:rsidR="00506A6C">
        <w:rPr>
          <w:szCs w:val="24"/>
          <w:lang w:val="en-GB" w:eastAsia="et-EE"/>
        </w:rPr>
        <w:t>Self-service kiosk for Border Control Point</w:t>
      </w:r>
      <w:r>
        <w:rPr>
          <w:szCs w:val="24"/>
          <w:lang w:val="en-GB" w:eastAsia="et-EE"/>
        </w:rPr>
        <w:t xml:space="preserve">s" (Ref. 248377) on the grounds of subsection 49 (1) 2) and subsection 72 of the Public Procurement Act and proposes to submit a tender in accordance with the conditions contained in this invitation to tender and its annexes (hereinafter referred to as all together as </w:t>
      </w:r>
      <w:r>
        <w:rPr>
          <w:i/>
          <w:iCs/>
          <w:szCs w:val="24"/>
          <w:lang w:val="en-GB" w:eastAsia="et-EE"/>
        </w:rPr>
        <w:t>PEE</w:t>
      </w:r>
      <w:r>
        <w:rPr>
          <w:szCs w:val="24"/>
          <w:lang w:val="en-GB" w:eastAsia="et-EE"/>
        </w:rPr>
        <w:t>).</w:t>
      </w:r>
    </w:p>
    <w:p w14:paraId="2483A695" w14:textId="77777777" w:rsidR="008606C5" w:rsidRPr="00464375" w:rsidRDefault="008606C5" w:rsidP="008606C5">
      <w:pPr>
        <w:tabs>
          <w:tab w:val="num" w:pos="404"/>
        </w:tabs>
        <w:rPr>
          <w:szCs w:val="24"/>
          <w:lang w:eastAsia="et-EE"/>
        </w:rPr>
      </w:pPr>
    </w:p>
    <w:p w14:paraId="699A71B3" w14:textId="77777777" w:rsidR="008606C5" w:rsidRPr="00B50FB5" w:rsidRDefault="00090D8D" w:rsidP="00B50FB5">
      <w:pPr>
        <w:pStyle w:val="Laad2"/>
        <w:numPr>
          <w:ilvl w:val="0"/>
          <w:numId w:val="9"/>
        </w:numPr>
        <w:rPr>
          <w:b/>
          <w:bCs/>
        </w:rPr>
      </w:pPr>
      <w:r>
        <w:rPr>
          <w:b/>
          <w:bCs/>
          <w:lang w:val="en-GB"/>
        </w:rPr>
        <w:t>Annexes</w:t>
      </w:r>
    </w:p>
    <w:p w14:paraId="6508DC7B" w14:textId="5C7A56A3" w:rsidR="008606C5" w:rsidRDefault="00090D8D" w:rsidP="00B50FB5">
      <w:pPr>
        <w:pStyle w:val="Laad2"/>
        <w:numPr>
          <w:ilvl w:val="1"/>
          <w:numId w:val="9"/>
        </w:numPr>
      </w:pPr>
      <w:r>
        <w:rPr>
          <w:lang w:val="en-GB"/>
        </w:rPr>
        <w:t xml:space="preserve">Annex 1 – Draft </w:t>
      </w:r>
      <w:r w:rsidR="0086348A">
        <w:rPr>
          <w:lang w:val="en-GB"/>
        </w:rPr>
        <w:t xml:space="preserve">framework </w:t>
      </w:r>
      <w:r w:rsidR="00CA0A60">
        <w:rPr>
          <w:lang w:val="en-GB"/>
        </w:rPr>
        <w:t>contract</w:t>
      </w:r>
      <w:r>
        <w:rPr>
          <w:lang w:val="en-GB"/>
        </w:rPr>
        <w:t xml:space="preserve"> and public </w:t>
      </w:r>
      <w:r w:rsidR="00CA0A60">
        <w:rPr>
          <w:lang w:val="en-GB"/>
        </w:rPr>
        <w:t>contract</w:t>
      </w:r>
      <w:r>
        <w:rPr>
          <w:lang w:val="en-GB"/>
        </w:rPr>
        <w:t>;</w:t>
      </w:r>
    </w:p>
    <w:p w14:paraId="1FFF4F93" w14:textId="17B21BA2" w:rsidR="00B50FB5" w:rsidRPr="00B50FB5" w:rsidRDefault="00090D8D" w:rsidP="00B50FB5">
      <w:pPr>
        <w:pStyle w:val="Laad2"/>
        <w:numPr>
          <w:ilvl w:val="2"/>
          <w:numId w:val="9"/>
        </w:numPr>
      </w:pPr>
      <w:r>
        <w:rPr>
          <w:lang w:val="en-GB"/>
        </w:rPr>
        <w:t xml:space="preserve">Annex 1.1 – </w:t>
      </w:r>
      <w:r w:rsidR="00B6720A">
        <w:rPr>
          <w:lang w:val="en-GB"/>
        </w:rPr>
        <w:t>General terms and conditions</w:t>
      </w:r>
      <w:r>
        <w:rPr>
          <w:lang w:val="en-GB"/>
        </w:rPr>
        <w:t xml:space="preserve"> of SMIT sale </w:t>
      </w:r>
      <w:r w:rsidR="00CA0A60">
        <w:rPr>
          <w:lang w:val="en-GB"/>
        </w:rPr>
        <w:t>contract</w:t>
      </w:r>
      <w:r>
        <w:rPr>
          <w:lang w:val="en-GB"/>
        </w:rPr>
        <w:t>s;</w:t>
      </w:r>
    </w:p>
    <w:p w14:paraId="209C7BAB" w14:textId="77777777" w:rsidR="008606C5" w:rsidRPr="00B50FB5" w:rsidRDefault="00090D8D" w:rsidP="00B50FB5">
      <w:pPr>
        <w:pStyle w:val="Laad2"/>
        <w:numPr>
          <w:ilvl w:val="2"/>
          <w:numId w:val="9"/>
        </w:numPr>
      </w:pPr>
      <w:r>
        <w:rPr>
          <w:lang w:val="en-GB"/>
        </w:rPr>
        <w:t xml:space="preserve">Annex 1 - General Conditions of SMIT Authorisation Agreements; </w:t>
      </w:r>
    </w:p>
    <w:p w14:paraId="2E410A9E" w14:textId="77777777" w:rsidR="008606C5" w:rsidRDefault="00090D8D" w:rsidP="00B50FB5">
      <w:pPr>
        <w:pStyle w:val="Laad2"/>
        <w:numPr>
          <w:ilvl w:val="1"/>
          <w:numId w:val="9"/>
        </w:numPr>
      </w:pPr>
      <w:r>
        <w:rPr>
          <w:lang w:val="en-GB"/>
        </w:rPr>
        <w:t>Annex 2 – Technical specifications (within the procurement, the document is submitted in English to ensure that the procurement terms and conditions are understood in the same way by all, as the standards applied to the verification of the documents are in English and there is no generally recognised Estonian terminology);</w:t>
      </w:r>
    </w:p>
    <w:p w14:paraId="10410B6B" w14:textId="2A984F0E" w:rsidR="003F2C28" w:rsidRDefault="00090D8D" w:rsidP="003F2C28">
      <w:pPr>
        <w:pStyle w:val="Laad2"/>
        <w:numPr>
          <w:ilvl w:val="1"/>
          <w:numId w:val="9"/>
        </w:numPr>
      </w:pPr>
      <w:r>
        <w:rPr>
          <w:lang w:val="en-GB"/>
        </w:rPr>
        <w:t>Annex 3 - Confirmation of grounds for exclusion (</w:t>
      </w:r>
      <w:r w:rsidR="00B6720A">
        <w:rPr>
          <w:lang w:val="en-GB"/>
        </w:rPr>
        <w:t>Procurement register</w:t>
      </w:r>
      <w:r>
        <w:rPr>
          <w:lang w:val="en-GB"/>
        </w:rPr>
        <w:t>);</w:t>
      </w:r>
    </w:p>
    <w:p w14:paraId="2A5FCE4E" w14:textId="7BAFCF8F" w:rsidR="008606C5" w:rsidRDefault="00090D8D" w:rsidP="00B50FB5">
      <w:pPr>
        <w:pStyle w:val="Laad2"/>
        <w:numPr>
          <w:ilvl w:val="1"/>
          <w:numId w:val="9"/>
        </w:numPr>
      </w:pPr>
      <w:r>
        <w:rPr>
          <w:lang w:val="en-GB"/>
        </w:rPr>
        <w:t>Annex 4 – Tender suitability criteria (</w:t>
      </w:r>
      <w:r w:rsidR="00B6720A">
        <w:rPr>
          <w:lang w:val="en-GB"/>
        </w:rPr>
        <w:t>Procurement register</w:t>
      </w:r>
      <w:r>
        <w:rPr>
          <w:lang w:val="en-GB"/>
        </w:rPr>
        <w:t>);</w:t>
      </w:r>
    </w:p>
    <w:p w14:paraId="387A5649" w14:textId="6E745383" w:rsidR="008606C5" w:rsidRDefault="00090D8D" w:rsidP="00B50FB5">
      <w:pPr>
        <w:pStyle w:val="Laad2"/>
        <w:numPr>
          <w:ilvl w:val="1"/>
          <w:numId w:val="9"/>
        </w:numPr>
      </w:pPr>
      <w:r>
        <w:rPr>
          <w:lang w:val="en-GB"/>
        </w:rPr>
        <w:t>Appendix 5 – Award criteria (</w:t>
      </w:r>
      <w:r w:rsidR="00B6720A">
        <w:rPr>
          <w:lang w:val="en-GB"/>
        </w:rPr>
        <w:t>Procurement register</w:t>
      </w:r>
      <w:r>
        <w:rPr>
          <w:lang w:val="en-GB"/>
        </w:rPr>
        <w:t>).</w:t>
      </w:r>
    </w:p>
    <w:p w14:paraId="484D0117" w14:textId="77777777" w:rsidR="00203A2A" w:rsidRDefault="00090D8D" w:rsidP="00B50FB5">
      <w:pPr>
        <w:pStyle w:val="Laad2"/>
        <w:numPr>
          <w:ilvl w:val="1"/>
          <w:numId w:val="9"/>
        </w:numPr>
      </w:pPr>
      <w:r>
        <w:rPr>
          <w:lang w:val="en-GB"/>
        </w:rPr>
        <w:t>Annex 6 – Confidentiality agreement (the document will be submitted in English in the procurement, as the document will be signed in English;</w:t>
      </w:r>
    </w:p>
    <w:p w14:paraId="4D2FAFA3" w14:textId="77777777" w:rsidR="00482377" w:rsidRDefault="00090D8D" w:rsidP="00482377">
      <w:pPr>
        <w:pStyle w:val="Laad2"/>
        <w:numPr>
          <w:ilvl w:val="1"/>
          <w:numId w:val="9"/>
        </w:numPr>
      </w:pPr>
      <w:r>
        <w:rPr>
          <w:lang w:val="en-GB"/>
        </w:rPr>
        <w:t>The translations of documents listed in this clause into English are made available to interested economic operators in the e-procurement environment;</w:t>
      </w:r>
    </w:p>
    <w:p w14:paraId="3971E9B7" w14:textId="77777777" w:rsidR="00482377" w:rsidRPr="00482377" w:rsidRDefault="00090D8D" w:rsidP="00482377">
      <w:pPr>
        <w:pStyle w:val="Laad2"/>
        <w:numPr>
          <w:ilvl w:val="1"/>
          <w:numId w:val="9"/>
        </w:numPr>
      </w:pPr>
      <w:r>
        <w:rPr>
          <w:u w:val="single"/>
          <w:lang w:val="en-GB"/>
        </w:rPr>
        <w:t>In case of a conflict in the documents in Estonian and English versions, the Estonian version shall prevail.</w:t>
      </w:r>
    </w:p>
    <w:p w14:paraId="621FE1BA" w14:textId="77777777" w:rsidR="008606C5" w:rsidRPr="00B50FB5" w:rsidRDefault="008606C5" w:rsidP="00B50FB5">
      <w:pPr>
        <w:rPr>
          <w:b/>
          <w:szCs w:val="24"/>
        </w:rPr>
      </w:pPr>
    </w:p>
    <w:p w14:paraId="7C238B03" w14:textId="31BB1514" w:rsidR="008606C5" w:rsidRPr="00B50FB5" w:rsidRDefault="00090D8D" w:rsidP="00B50FB5">
      <w:pPr>
        <w:pStyle w:val="ListParagraph"/>
        <w:numPr>
          <w:ilvl w:val="0"/>
          <w:numId w:val="9"/>
        </w:numPr>
        <w:autoSpaceDE w:val="0"/>
        <w:autoSpaceDN w:val="0"/>
        <w:adjustRightInd w:val="0"/>
        <w:rPr>
          <w:b/>
          <w:szCs w:val="24"/>
          <w:lang w:eastAsia="et-EE"/>
        </w:rPr>
      </w:pPr>
      <w:r>
        <w:rPr>
          <w:b/>
          <w:bCs/>
          <w:szCs w:val="24"/>
          <w:lang w:val="en-GB" w:eastAsia="et-EE"/>
        </w:rPr>
        <w:t xml:space="preserve">Subject-matter of the </w:t>
      </w:r>
      <w:r w:rsidR="00CA0A60">
        <w:rPr>
          <w:b/>
          <w:bCs/>
          <w:szCs w:val="24"/>
          <w:lang w:val="en-GB" w:eastAsia="et-EE"/>
        </w:rPr>
        <w:t>Contract</w:t>
      </w:r>
      <w:r>
        <w:rPr>
          <w:b/>
          <w:bCs/>
          <w:szCs w:val="24"/>
          <w:lang w:val="en-GB" w:eastAsia="et-EE"/>
        </w:rPr>
        <w:t>, subdivision of public procurement</w:t>
      </w:r>
    </w:p>
    <w:p w14:paraId="7A98E840" w14:textId="4C93C7A7" w:rsidR="008606C5" w:rsidRPr="00543B95" w:rsidRDefault="00090D8D" w:rsidP="00B50FB5">
      <w:pPr>
        <w:pStyle w:val="ListParagraph"/>
        <w:numPr>
          <w:ilvl w:val="1"/>
          <w:numId w:val="9"/>
        </w:numPr>
        <w:rPr>
          <w:szCs w:val="24"/>
        </w:rPr>
      </w:pPr>
      <w:r>
        <w:rPr>
          <w:szCs w:val="24"/>
          <w:lang w:val="en-GB"/>
        </w:rPr>
        <w:t xml:space="preserve">The subject-matter of the </w:t>
      </w:r>
      <w:r w:rsidR="0086348A">
        <w:rPr>
          <w:szCs w:val="24"/>
          <w:lang w:val="en-GB"/>
        </w:rPr>
        <w:t xml:space="preserve">Framework </w:t>
      </w:r>
      <w:r w:rsidR="00CA0A60">
        <w:rPr>
          <w:szCs w:val="24"/>
          <w:lang w:val="en-GB"/>
        </w:rPr>
        <w:t>contract</w:t>
      </w:r>
      <w:r>
        <w:rPr>
          <w:szCs w:val="24"/>
          <w:lang w:val="en-GB"/>
        </w:rPr>
        <w:t xml:space="preserve"> is the procurement of </w:t>
      </w:r>
      <w:r w:rsidR="00506A6C">
        <w:rPr>
          <w:szCs w:val="24"/>
          <w:lang w:val="en-GB"/>
        </w:rPr>
        <w:t>Self-service kiosk for Border Control Point</w:t>
      </w:r>
      <w:r>
        <w:rPr>
          <w:szCs w:val="24"/>
          <w:lang w:val="en-GB"/>
        </w:rPr>
        <w:t xml:space="preserve">s. The technical specifications and the terms and conditions of the </w:t>
      </w:r>
      <w:r w:rsidR="0086348A">
        <w:rPr>
          <w:szCs w:val="24"/>
          <w:lang w:val="en-GB"/>
        </w:rPr>
        <w:t xml:space="preserve">Framework </w:t>
      </w:r>
      <w:r w:rsidR="00CA0A60">
        <w:rPr>
          <w:szCs w:val="24"/>
          <w:lang w:val="en-GB"/>
        </w:rPr>
        <w:t>contract</w:t>
      </w:r>
      <w:r>
        <w:rPr>
          <w:szCs w:val="24"/>
          <w:lang w:val="en-GB"/>
        </w:rPr>
        <w:t xml:space="preserve"> and the Public </w:t>
      </w:r>
      <w:r w:rsidR="00CA0A60">
        <w:rPr>
          <w:szCs w:val="24"/>
          <w:lang w:val="en-GB"/>
        </w:rPr>
        <w:t>Contract</w:t>
      </w:r>
      <w:r>
        <w:rPr>
          <w:szCs w:val="24"/>
          <w:lang w:val="en-GB"/>
        </w:rPr>
        <w:t xml:space="preserve"> have been specified in the PEE and its annexes. </w:t>
      </w:r>
    </w:p>
    <w:p w14:paraId="5712CA52" w14:textId="4834E17F" w:rsidR="00E648E3" w:rsidRDefault="00090D8D" w:rsidP="00B50FB5">
      <w:pPr>
        <w:pStyle w:val="ListParagraph"/>
        <w:numPr>
          <w:ilvl w:val="1"/>
          <w:numId w:val="9"/>
        </w:numPr>
        <w:rPr>
          <w:szCs w:val="24"/>
        </w:rPr>
      </w:pPr>
      <w:bookmarkStart w:id="0" w:name="_Hlk103262870"/>
      <w:r>
        <w:rPr>
          <w:szCs w:val="24"/>
          <w:lang w:val="en-GB"/>
        </w:rPr>
        <w:lastRenderedPageBreak/>
        <w:t xml:space="preserve">Source of funding: The state budget and/or external resources (the exact source of funding shall be specified in each order and/or procurement </w:t>
      </w:r>
      <w:r w:rsidR="00CA0A60">
        <w:rPr>
          <w:szCs w:val="24"/>
          <w:lang w:val="en-GB"/>
        </w:rPr>
        <w:t>contract</w:t>
      </w:r>
      <w:r>
        <w:rPr>
          <w:szCs w:val="24"/>
          <w:lang w:val="en-GB"/>
        </w:rPr>
        <w:t>), incl. Resources for the project ISFB-31 “Establishment of an automated border control system” of the European Union Internal Security Fund and the Ministry of Internal Affairs of the Republic of Estonia</w:t>
      </w:r>
    </w:p>
    <w:bookmarkEnd w:id="0"/>
    <w:p w14:paraId="06E89B5C" w14:textId="77777777" w:rsidR="008606C5" w:rsidRPr="00543B95" w:rsidRDefault="00090D8D" w:rsidP="00B50FB5">
      <w:pPr>
        <w:pStyle w:val="ListParagraph"/>
        <w:numPr>
          <w:ilvl w:val="1"/>
          <w:numId w:val="9"/>
        </w:numPr>
        <w:rPr>
          <w:szCs w:val="24"/>
        </w:rPr>
      </w:pPr>
      <w:r>
        <w:rPr>
          <w:szCs w:val="24"/>
          <w:lang w:val="en-GB"/>
        </w:rPr>
        <w:t>The maximum cost is EUR 1,000 000 excluding VAT.</w:t>
      </w:r>
    </w:p>
    <w:p w14:paraId="249CDDA8" w14:textId="67F20EE9" w:rsidR="008606C5" w:rsidRPr="00543B95" w:rsidRDefault="00090D8D" w:rsidP="00B50FB5">
      <w:pPr>
        <w:pStyle w:val="ListParagraph"/>
        <w:numPr>
          <w:ilvl w:val="1"/>
          <w:numId w:val="9"/>
        </w:numPr>
        <w:rPr>
          <w:szCs w:val="24"/>
        </w:rPr>
      </w:pPr>
      <w:r>
        <w:rPr>
          <w:szCs w:val="24"/>
          <w:lang w:val="en-GB"/>
        </w:rPr>
        <w:t xml:space="preserve">The </w:t>
      </w:r>
      <w:r w:rsidR="00CA0A60">
        <w:rPr>
          <w:szCs w:val="24"/>
          <w:lang w:val="en-GB"/>
        </w:rPr>
        <w:t>Contract</w:t>
      </w:r>
      <w:r w:rsidR="00B6720A">
        <w:rPr>
          <w:szCs w:val="24"/>
          <w:lang w:val="en-GB"/>
        </w:rPr>
        <w:t>ing authority</w:t>
      </w:r>
      <w:r>
        <w:rPr>
          <w:szCs w:val="24"/>
          <w:lang w:val="en-GB"/>
        </w:rPr>
        <w:t xml:space="preserve"> does not subdivide the public procurement into parts, because due to the nature of the item, it is not possible to subdivide the procurement into parts, because the subject-matter of the </w:t>
      </w:r>
      <w:r w:rsidR="00CA0A60">
        <w:rPr>
          <w:szCs w:val="24"/>
          <w:lang w:val="en-GB"/>
        </w:rPr>
        <w:t>Contract</w:t>
      </w:r>
      <w:r>
        <w:rPr>
          <w:szCs w:val="24"/>
          <w:lang w:val="en-GB"/>
        </w:rPr>
        <w:t xml:space="preserve"> is functionally interacting and necessary for the same purpose, the provision of which shall be the right of one tenderer. The Tenderer has provided the </w:t>
      </w:r>
      <w:r w:rsidR="00CA0A60">
        <w:rPr>
          <w:szCs w:val="24"/>
          <w:lang w:val="en-GB"/>
        </w:rPr>
        <w:t>Contract</w:t>
      </w:r>
      <w:r w:rsidR="00B6720A">
        <w:rPr>
          <w:szCs w:val="24"/>
          <w:lang w:val="en-GB"/>
        </w:rPr>
        <w:t>ing authority</w:t>
      </w:r>
      <w:r>
        <w:rPr>
          <w:szCs w:val="24"/>
          <w:lang w:val="en-GB"/>
        </w:rPr>
        <w:t xml:space="preserve"> with a</w:t>
      </w:r>
      <w:r w:rsidR="002F4AD7">
        <w:rPr>
          <w:szCs w:val="24"/>
          <w:lang w:val="en-GB"/>
        </w:rPr>
        <w:t xml:space="preserve"> p</w:t>
      </w:r>
      <w:r>
        <w:rPr>
          <w:szCs w:val="24"/>
          <w:lang w:val="en-GB"/>
        </w:rPr>
        <w:t xml:space="preserve">roof of </w:t>
      </w:r>
      <w:r w:rsidR="002F4AD7">
        <w:rPr>
          <w:szCs w:val="24"/>
          <w:lang w:val="en-GB"/>
        </w:rPr>
        <w:t>g</w:t>
      </w:r>
      <w:r>
        <w:rPr>
          <w:szCs w:val="24"/>
          <w:lang w:val="en-GB"/>
        </w:rPr>
        <w:t xml:space="preserve">ranting an </w:t>
      </w:r>
      <w:r w:rsidR="002F4AD7">
        <w:rPr>
          <w:szCs w:val="24"/>
          <w:lang w:val="en-GB"/>
        </w:rPr>
        <w:t>e</w:t>
      </w:r>
      <w:r>
        <w:rPr>
          <w:szCs w:val="24"/>
          <w:lang w:val="en-GB"/>
        </w:rPr>
        <w:t xml:space="preserve">xclusive </w:t>
      </w:r>
      <w:r w:rsidR="002F4AD7">
        <w:rPr>
          <w:szCs w:val="24"/>
          <w:lang w:val="en-GB"/>
        </w:rPr>
        <w:t>r</w:t>
      </w:r>
      <w:r>
        <w:rPr>
          <w:szCs w:val="24"/>
          <w:lang w:val="en-GB"/>
        </w:rPr>
        <w:t>ight.</w:t>
      </w:r>
    </w:p>
    <w:p w14:paraId="30F04994" w14:textId="77777777" w:rsidR="008606C5" w:rsidRPr="00B50FB5" w:rsidRDefault="008606C5" w:rsidP="00B50FB5">
      <w:pPr>
        <w:pStyle w:val="Laad2"/>
        <w:numPr>
          <w:ilvl w:val="0"/>
          <w:numId w:val="0"/>
        </w:numPr>
      </w:pPr>
    </w:p>
    <w:p w14:paraId="0D437A8D" w14:textId="1426AD18" w:rsidR="008606C5" w:rsidRPr="00B50FB5" w:rsidRDefault="00090D8D" w:rsidP="00B50FB5">
      <w:pPr>
        <w:pStyle w:val="ListParagraph"/>
        <w:numPr>
          <w:ilvl w:val="0"/>
          <w:numId w:val="9"/>
        </w:numPr>
        <w:rPr>
          <w:szCs w:val="24"/>
        </w:rPr>
      </w:pPr>
      <w:bookmarkStart w:id="1" w:name="_Toc347148609"/>
      <w:r>
        <w:rPr>
          <w:b/>
          <w:bCs/>
          <w:szCs w:val="24"/>
          <w:lang w:val="en-GB"/>
        </w:rPr>
        <w:t xml:space="preserve">Procurement </w:t>
      </w:r>
      <w:r w:rsidR="00CA44B5">
        <w:rPr>
          <w:b/>
          <w:bCs/>
          <w:szCs w:val="24"/>
          <w:lang w:val="en-GB"/>
        </w:rPr>
        <w:t>t</w:t>
      </w:r>
      <w:r>
        <w:rPr>
          <w:b/>
          <w:bCs/>
          <w:szCs w:val="24"/>
          <w:lang w:val="en-GB"/>
        </w:rPr>
        <w:t xml:space="preserve">erms and </w:t>
      </w:r>
      <w:r w:rsidR="00CA44B5">
        <w:rPr>
          <w:b/>
          <w:bCs/>
          <w:szCs w:val="24"/>
          <w:lang w:val="en-GB"/>
        </w:rPr>
        <w:t>c</w:t>
      </w:r>
      <w:r>
        <w:rPr>
          <w:b/>
          <w:bCs/>
          <w:szCs w:val="24"/>
          <w:lang w:val="en-GB"/>
        </w:rPr>
        <w:t>onditions</w:t>
      </w:r>
    </w:p>
    <w:p w14:paraId="70C12725" w14:textId="55DB41AB" w:rsidR="008606C5" w:rsidRPr="00B50FB5" w:rsidRDefault="00090D8D" w:rsidP="00B50FB5">
      <w:pPr>
        <w:numPr>
          <w:ilvl w:val="1"/>
          <w:numId w:val="9"/>
        </w:numPr>
        <w:rPr>
          <w:szCs w:val="24"/>
        </w:rPr>
      </w:pPr>
      <w:r>
        <w:rPr>
          <w:szCs w:val="24"/>
          <w:lang w:val="en-GB"/>
        </w:rPr>
        <w:t xml:space="preserve">The procurement procedure is carried out in the </w:t>
      </w:r>
      <w:r w:rsidR="00B6720A">
        <w:rPr>
          <w:szCs w:val="24"/>
          <w:lang w:val="en-GB"/>
        </w:rPr>
        <w:t>Procurement register</w:t>
      </w:r>
      <w:r>
        <w:rPr>
          <w:szCs w:val="24"/>
          <w:lang w:val="en-GB"/>
        </w:rPr>
        <w:t>.</w:t>
      </w:r>
    </w:p>
    <w:p w14:paraId="3D07B1EC" w14:textId="77777777" w:rsidR="008606C5" w:rsidRPr="00B50FB5" w:rsidRDefault="00090D8D" w:rsidP="00B50FB5">
      <w:pPr>
        <w:numPr>
          <w:ilvl w:val="1"/>
          <w:numId w:val="9"/>
        </w:numPr>
        <w:rPr>
          <w:szCs w:val="24"/>
        </w:rPr>
      </w:pPr>
      <w:r>
        <w:rPr>
          <w:szCs w:val="24"/>
          <w:lang w:val="en-GB"/>
        </w:rPr>
        <w:t xml:space="preserve">The information about the contents of the procurement procedure is included in the PEE and its annexes constituting an integrated whole.  </w:t>
      </w:r>
    </w:p>
    <w:p w14:paraId="6B4191C2" w14:textId="58223FA1" w:rsidR="008606C5" w:rsidRPr="00B50FB5" w:rsidRDefault="00090D8D" w:rsidP="00B50FB5">
      <w:pPr>
        <w:numPr>
          <w:ilvl w:val="1"/>
          <w:numId w:val="9"/>
        </w:numPr>
        <w:rPr>
          <w:szCs w:val="24"/>
        </w:rPr>
      </w:pPr>
      <w:r>
        <w:rPr>
          <w:szCs w:val="24"/>
          <w:lang w:val="en-GB"/>
        </w:rPr>
        <w:t xml:space="preserve">Clarifications about the contents of the PEE may be obtained from the </w:t>
      </w:r>
      <w:r w:rsidR="00CA0A60">
        <w:rPr>
          <w:szCs w:val="24"/>
          <w:lang w:val="en-GB"/>
        </w:rPr>
        <w:t>Contract</w:t>
      </w:r>
      <w:r w:rsidR="00B6720A">
        <w:rPr>
          <w:szCs w:val="24"/>
          <w:lang w:val="en-GB"/>
        </w:rPr>
        <w:t>ing authority</w:t>
      </w:r>
      <w:r>
        <w:rPr>
          <w:szCs w:val="24"/>
          <w:lang w:val="en-GB"/>
        </w:rPr>
        <w:t xml:space="preserve"> by a written qu</w:t>
      </w:r>
      <w:r w:rsidR="00711914">
        <w:rPr>
          <w:szCs w:val="24"/>
          <w:lang w:val="en-GB"/>
        </w:rPr>
        <w:t>e</w:t>
      </w:r>
      <w:r>
        <w:rPr>
          <w:szCs w:val="24"/>
          <w:lang w:val="en-GB"/>
        </w:rPr>
        <w:t xml:space="preserve">ry through the electronic communication worksheet in the e-procurement environment. </w:t>
      </w:r>
    </w:p>
    <w:p w14:paraId="4D81B650" w14:textId="71E5275B" w:rsidR="008606C5" w:rsidRPr="00B50FB5" w:rsidRDefault="00090D8D" w:rsidP="00B50FB5">
      <w:pPr>
        <w:numPr>
          <w:ilvl w:val="1"/>
          <w:numId w:val="9"/>
        </w:numPr>
        <w:rPr>
          <w:szCs w:val="24"/>
        </w:rPr>
      </w:pPr>
      <w:r>
        <w:rPr>
          <w:szCs w:val="24"/>
          <w:lang w:val="en-GB"/>
        </w:rPr>
        <w:t xml:space="preserve">The </w:t>
      </w:r>
      <w:r w:rsidR="00CA0A60">
        <w:rPr>
          <w:szCs w:val="24"/>
          <w:lang w:val="en-GB"/>
        </w:rPr>
        <w:t>Contract</w:t>
      </w:r>
      <w:r w:rsidR="00B6720A">
        <w:rPr>
          <w:szCs w:val="24"/>
          <w:lang w:val="en-GB"/>
        </w:rPr>
        <w:t>ing authority</w:t>
      </w:r>
      <w:r>
        <w:rPr>
          <w:szCs w:val="24"/>
          <w:lang w:val="en-GB"/>
        </w:rPr>
        <w:t xml:space="preserve"> shall respond to questions within three working days as of the receipt of a request for clarification, by providing answers into the electronic communication worksheet of the e-procurement environment. The e-procurement environment sends an automatic notification about the provision of the reply. </w:t>
      </w:r>
    </w:p>
    <w:p w14:paraId="043BF834" w14:textId="1AA9FDBB" w:rsidR="008606C5" w:rsidRDefault="00090D8D" w:rsidP="00B50FB5">
      <w:pPr>
        <w:numPr>
          <w:ilvl w:val="1"/>
          <w:numId w:val="9"/>
        </w:numPr>
        <w:rPr>
          <w:szCs w:val="24"/>
        </w:rPr>
      </w:pPr>
      <w:r>
        <w:rPr>
          <w:szCs w:val="24"/>
          <w:lang w:val="en-GB"/>
        </w:rPr>
        <w:t xml:space="preserve">A tenderer is required to bear any and all costs related to drawing up and submitting the tender and entering into the </w:t>
      </w:r>
      <w:r w:rsidR="00CA0A60">
        <w:rPr>
          <w:szCs w:val="24"/>
          <w:lang w:val="en-GB"/>
        </w:rPr>
        <w:t>Contract</w:t>
      </w:r>
      <w:r>
        <w:rPr>
          <w:szCs w:val="24"/>
          <w:lang w:val="en-GB"/>
        </w:rPr>
        <w:t>.  A tenderer shall not be compensated for any damage or costs related to participation in the procurement procedure.</w:t>
      </w:r>
    </w:p>
    <w:p w14:paraId="0BAD8DE7" w14:textId="35B2B26C" w:rsidR="00B50FB5" w:rsidRDefault="00090D8D" w:rsidP="00B50FB5">
      <w:pPr>
        <w:numPr>
          <w:ilvl w:val="1"/>
          <w:numId w:val="9"/>
        </w:numPr>
        <w:rPr>
          <w:szCs w:val="24"/>
        </w:rPr>
      </w:pPr>
      <w:r>
        <w:rPr>
          <w:szCs w:val="24"/>
          <w:lang w:val="en-GB"/>
        </w:rPr>
        <w:t xml:space="preserve">Only tenderers or candidates who are resident or established in Estonia, another Member State of the European Union, another </w:t>
      </w:r>
      <w:r w:rsidR="00CA0A60">
        <w:rPr>
          <w:szCs w:val="24"/>
          <w:lang w:val="en-GB"/>
        </w:rPr>
        <w:t>contract</w:t>
      </w:r>
      <w:r>
        <w:rPr>
          <w:szCs w:val="24"/>
          <w:lang w:val="en-GB"/>
        </w:rPr>
        <w:t>ing party of the European Economic Area or a country that is party to the World Trade Organisation Agreement on Government Procurement can participate in the public procurement.</w:t>
      </w:r>
    </w:p>
    <w:p w14:paraId="1C299470" w14:textId="77777777" w:rsidR="00EE7ECF" w:rsidRPr="00EE7ECF" w:rsidRDefault="00090D8D" w:rsidP="00EE7ECF">
      <w:pPr>
        <w:numPr>
          <w:ilvl w:val="1"/>
          <w:numId w:val="9"/>
        </w:numPr>
        <w:rPr>
          <w:szCs w:val="24"/>
        </w:rPr>
      </w:pPr>
      <w:r>
        <w:rPr>
          <w:szCs w:val="24"/>
          <w:lang w:val="en-GB"/>
        </w:rPr>
        <w:t>Making a joint tender is not allowed</w:t>
      </w:r>
    </w:p>
    <w:p w14:paraId="0230450A" w14:textId="77777777" w:rsidR="008606C5" w:rsidRPr="00EE7ECF" w:rsidRDefault="008606C5" w:rsidP="00EE7ECF">
      <w:pPr>
        <w:ind w:left="792"/>
        <w:rPr>
          <w:szCs w:val="24"/>
        </w:rPr>
      </w:pPr>
    </w:p>
    <w:p w14:paraId="10D53487" w14:textId="77777777" w:rsidR="008606C5" w:rsidRPr="00B50FB5" w:rsidRDefault="00090D8D" w:rsidP="00B50FB5">
      <w:pPr>
        <w:pStyle w:val="ListParagraph"/>
        <w:numPr>
          <w:ilvl w:val="0"/>
          <w:numId w:val="9"/>
        </w:numPr>
        <w:rPr>
          <w:szCs w:val="24"/>
        </w:rPr>
      </w:pPr>
      <w:r>
        <w:rPr>
          <w:b/>
          <w:bCs/>
          <w:szCs w:val="24"/>
          <w:lang w:val="en-GB"/>
        </w:rPr>
        <w:t xml:space="preserve">Formalisation and submission of the tender </w:t>
      </w:r>
    </w:p>
    <w:p w14:paraId="5E4CD2BF" w14:textId="277EBF07" w:rsidR="00B50FB5" w:rsidRPr="004A7A55" w:rsidRDefault="00090D8D" w:rsidP="00B50FB5">
      <w:pPr>
        <w:pStyle w:val="Laad2"/>
        <w:numPr>
          <w:ilvl w:val="1"/>
          <w:numId w:val="9"/>
        </w:numPr>
      </w:pPr>
      <w:r>
        <w:rPr>
          <w:color w:val="202020"/>
          <w:shd w:val="clear" w:color="auto" w:fill="FFFFFF"/>
          <w:lang w:val="en-GB"/>
        </w:rPr>
        <w:t xml:space="preserve">The </w:t>
      </w:r>
      <w:r w:rsidR="00CA0A60">
        <w:rPr>
          <w:color w:val="202020"/>
          <w:shd w:val="clear" w:color="auto" w:fill="FFFFFF"/>
          <w:lang w:val="en-GB"/>
        </w:rPr>
        <w:t>Contract</w:t>
      </w:r>
      <w:r w:rsidR="00B6720A">
        <w:rPr>
          <w:color w:val="202020"/>
          <w:shd w:val="clear" w:color="auto" w:fill="FFFFFF"/>
          <w:lang w:val="en-GB"/>
        </w:rPr>
        <w:t>ing authority</w:t>
      </w:r>
      <w:r>
        <w:rPr>
          <w:color w:val="202020"/>
          <w:shd w:val="clear" w:color="auto" w:fill="FFFFFF"/>
          <w:lang w:val="en-GB"/>
        </w:rPr>
        <w:t xml:space="preserve"> shall open the tender submitted by the term and verify its compliance with the terms and conditions set out in the procurement documents.</w:t>
      </w:r>
    </w:p>
    <w:p w14:paraId="443DC09A" w14:textId="10FEFDE3" w:rsidR="00B50FB5" w:rsidRPr="00464375" w:rsidRDefault="00090D8D" w:rsidP="00B50FB5">
      <w:pPr>
        <w:pStyle w:val="Laad2"/>
        <w:numPr>
          <w:ilvl w:val="1"/>
          <w:numId w:val="9"/>
        </w:numPr>
      </w:pPr>
      <w:r>
        <w:rPr>
          <w:shd w:val="clear" w:color="auto" w:fill="FFFFFF"/>
          <w:lang w:val="en-GB"/>
        </w:rPr>
        <w:t xml:space="preserve">The data provided in the tender must be true, submitted in a manner and with sufficient detail to enable the </w:t>
      </w:r>
      <w:r w:rsidR="00CA0A60">
        <w:rPr>
          <w:shd w:val="clear" w:color="auto" w:fill="FFFFFF"/>
          <w:lang w:val="en-GB"/>
        </w:rPr>
        <w:t>Contract</w:t>
      </w:r>
      <w:r w:rsidR="00B6720A">
        <w:rPr>
          <w:shd w:val="clear" w:color="auto" w:fill="FFFFFF"/>
          <w:lang w:val="en-GB"/>
        </w:rPr>
        <w:t>ing authority</w:t>
      </w:r>
      <w:r>
        <w:rPr>
          <w:shd w:val="clear" w:color="auto" w:fill="FFFFFF"/>
          <w:lang w:val="en-GB"/>
        </w:rPr>
        <w:t xml:space="preserve"> to verify its compliance with the terms and conditions set out in the procurement documents.</w:t>
      </w:r>
    </w:p>
    <w:p w14:paraId="1012BE46" w14:textId="77777777" w:rsidR="00B50FB5" w:rsidRPr="00464375" w:rsidRDefault="00090D8D" w:rsidP="00B50FB5">
      <w:pPr>
        <w:numPr>
          <w:ilvl w:val="1"/>
          <w:numId w:val="9"/>
        </w:numPr>
        <w:rPr>
          <w:szCs w:val="24"/>
          <w:lang w:eastAsia="et-EE"/>
        </w:rPr>
      </w:pPr>
      <w:r>
        <w:rPr>
          <w:bCs/>
          <w:szCs w:val="24"/>
          <w:lang w:val="en-GB"/>
        </w:rPr>
        <w:t xml:space="preserve">The costs shall be presented in euros to an accuracy of two decimal places.  </w:t>
      </w:r>
    </w:p>
    <w:p w14:paraId="3A1A2D3E" w14:textId="0CD27AF7" w:rsidR="00B50FB5" w:rsidRPr="00464375" w:rsidRDefault="00090D8D" w:rsidP="00B50FB5">
      <w:pPr>
        <w:pStyle w:val="Laad2"/>
        <w:numPr>
          <w:ilvl w:val="1"/>
          <w:numId w:val="9"/>
        </w:numPr>
      </w:pPr>
      <w:r>
        <w:rPr>
          <w:lang w:val="en-GB"/>
        </w:rPr>
        <w:t xml:space="preserve">The amounts recorded in the value of a tender are final for the </w:t>
      </w:r>
      <w:r w:rsidR="00CA0A60">
        <w:rPr>
          <w:lang w:val="en-GB"/>
        </w:rPr>
        <w:t>Contract</w:t>
      </w:r>
      <w:r w:rsidR="00B6720A">
        <w:rPr>
          <w:lang w:val="en-GB"/>
        </w:rPr>
        <w:t>ing authority</w:t>
      </w:r>
      <w:r>
        <w:rPr>
          <w:lang w:val="en-GB"/>
        </w:rPr>
        <w:t xml:space="preserve">, including fees or other taxes, excluding VAT, which are recognised separately, and no additional payments or expenses are added to the amounts stated therein. </w:t>
      </w:r>
      <w:r>
        <w:rPr>
          <w:u w:val="single"/>
          <w:lang w:val="en-GB"/>
        </w:rPr>
        <w:t xml:space="preserve">0 or costs with negative value are not allowed to be used and the </w:t>
      </w:r>
      <w:r w:rsidR="00CA0A60">
        <w:rPr>
          <w:u w:val="single"/>
          <w:lang w:val="en-GB"/>
        </w:rPr>
        <w:t>Contract</w:t>
      </w:r>
      <w:r w:rsidR="00B6720A">
        <w:rPr>
          <w:u w:val="single"/>
          <w:lang w:val="en-GB"/>
        </w:rPr>
        <w:t>ing authority</w:t>
      </w:r>
      <w:r>
        <w:rPr>
          <w:u w:val="single"/>
          <w:lang w:val="en-GB"/>
        </w:rPr>
        <w:t xml:space="preserve"> has the right to declare such a tender non-compliant and reject it.</w:t>
      </w:r>
    </w:p>
    <w:p w14:paraId="194664A4" w14:textId="59B5FB82" w:rsidR="00B50FB5" w:rsidRPr="00464375" w:rsidRDefault="00090D8D" w:rsidP="00B50FB5">
      <w:pPr>
        <w:numPr>
          <w:ilvl w:val="1"/>
          <w:numId w:val="9"/>
        </w:numPr>
        <w:rPr>
          <w:szCs w:val="24"/>
          <w:lang w:eastAsia="et-EE"/>
        </w:rPr>
      </w:pPr>
      <w:r>
        <w:rPr>
          <w:szCs w:val="24"/>
          <w:lang w:val="en-GB" w:eastAsia="et-EE"/>
        </w:rPr>
        <w:t xml:space="preserve">If documents to be submitted include documents signed in writing by any third party, the document must be submitted in a scanned form and the original document is only required if the </w:t>
      </w:r>
      <w:r w:rsidR="00CA0A60">
        <w:rPr>
          <w:szCs w:val="24"/>
          <w:lang w:val="en-GB" w:eastAsia="et-EE"/>
        </w:rPr>
        <w:t>Contract</w:t>
      </w:r>
      <w:r w:rsidR="00B6720A">
        <w:rPr>
          <w:szCs w:val="24"/>
          <w:lang w:val="en-GB" w:eastAsia="et-EE"/>
        </w:rPr>
        <w:t>ing authority</w:t>
      </w:r>
      <w:r>
        <w:rPr>
          <w:szCs w:val="24"/>
          <w:lang w:val="en-GB" w:eastAsia="et-EE"/>
        </w:rPr>
        <w:t xml:space="preserve"> has any doubts about the document.</w:t>
      </w:r>
    </w:p>
    <w:p w14:paraId="3C8F9523" w14:textId="77777777" w:rsidR="00B50FB5" w:rsidRPr="00B50FB5" w:rsidRDefault="00090D8D" w:rsidP="00B50FB5">
      <w:pPr>
        <w:numPr>
          <w:ilvl w:val="1"/>
          <w:numId w:val="9"/>
        </w:numPr>
        <w:rPr>
          <w:szCs w:val="24"/>
          <w:u w:val="single"/>
          <w:lang w:eastAsia="et-EE"/>
        </w:rPr>
      </w:pPr>
      <w:r>
        <w:rPr>
          <w:szCs w:val="24"/>
          <w:lang w:val="en-GB"/>
        </w:rPr>
        <w:t>Alternative solutions are not allowed.</w:t>
      </w:r>
    </w:p>
    <w:p w14:paraId="6B5923F9" w14:textId="557FFC1A" w:rsidR="008606C5" w:rsidRPr="00B50FB5" w:rsidRDefault="00090D8D" w:rsidP="00B50FB5">
      <w:pPr>
        <w:numPr>
          <w:ilvl w:val="1"/>
          <w:numId w:val="9"/>
        </w:numPr>
        <w:rPr>
          <w:szCs w:val="24"/>
          <w:u w:val="single"/>
          <w:lang w:eastAsia="et-EE"/>
        </w:rPr>
      </w:pPr>
      <w:r>
        <w:rPr>
          <w:szCs w:val="24"/>
          <w:lang w:val="en-GB"/>
        </w:rPr>
        <w:lastRenderedPageBreak/>
        <w:t xml:space="preserve">A tender is confidential until the decision to declare the tender successful is made. The tenderer must specify in the tender what information in the tender is the tenderer’s trade secret and justify the designation of the information as a trade secret. This information may not include the value of the tender or a part thereof where these are taken account of upon assessment of the tenders or other numerical indicators characterising a tender meeting the award criteria. The </w:t>
      </w:r>
      <w:r w:rsidR="00CA0A60">
        <w:rPr>
          <w:szCs w:val="24"/>
          <w:lang w:val="en-GB"/>
        </w:rPr>
        <w:t>Contract</w:t>
      </w:r>
      <w:r w:rsidR="00B6720A">
        <w:rPr>
          <w:szCs w:val="24"/>
          <w:lang w:val="en-GB"/>
        </w:rPr>
        <w:t>ing authority</w:t>
      </w:r>
      <w:r>
        <w:rPr>
          <w:szCs w:val="24"/>
          <w:lang w:val="en-GB"/>
        </w:rPr>
        <w:t xml:space="preserve"> will not disclose the contents of the tenders in the part of the trade secrets.</w:t>
      </w:r>
    </w:p>
    <w:p w14:paraId="55C5F381" w14:textId="77777777" w:rsidR="008606C5" w:rsidRPr="00B50FB5" w:rsidRDefault="008606C5" w:rsidP="00B50FB5">
      <w:pPr>
        <w:pStyle w:val="Default"/>
        <w:jc w:val="both"/>
        <w:rPr>
          <w:color w:val="auto"/>
        </w:rPr>
      </w:pPr>
    </w:p>
    <w:p w14:paraId="261B7302" w14:textId="77777777" w:rsidR="008606C5" w:rsidRPr="00016156" w:rsidRDefault="00090D8D" w:rsidP="00B50FB5">
      <w:pPr>
        <w:pStyle w:val="Default"/>
        <w:numPr>
          <w:ilvl w:val="0"/>
          <w:numId w:val="9"/>
        </w:numPr>
        <w:jc w:val="both"/>
        <w:rPr>
          <w:color w:val="auto"/>
        </w:rPr>
      </w:pPr>
      <w:r>
        <w:rPr>
          <w:b/>
          <w:bCs/>
          <w:color w:val="auto"/>
          <w:lang w:val="en-GB"/>
        </w:rPr>
        <w:t>Verification of the absence of grounds for exclusion of a tenderer</w:t>
      </w:r>
    </w:p>
    <w:p w14:paraId="0617D0B9" w14:textId="0E45E431" w:rsidR="008606C5" w:rsidRPr="00016156" w:rsidRDefault="00090D8D" w:rsidP="00016156">
      <w:pPr>
        <w:pStyle w:val="Default"/>
        <w:numPr>
          <w:ilvl w:val="1"/>
          <w:numId w:val="9"/>
        </w:numPr>
        <w:jc w:val="both"/>
        <w:rPr>
          <w:lang w:val="en-GB"/>
        </w:rPr>
      </w:pPr>
      <w:r>
        <w:rPr>
          <w:lang w:val="en-GB"/>
        </w:rPr>
        <w:t xml:space="preserve">The </w:t>
      </w:r>
      <w:r w:rsidR="00CA0A60">
        <w:rPr>
          <w:lang w:val="en-GB"/>
        </w:rPr>
        <w:t>Contract</w:t>
      </w:r>
      <w:r w:rsidR="00B6720A">
        <w:rPr>
          <w:lang w:val="en-GB"/>
        </w:rPr>
        <w:t>ing authority</w:t>
      </w:r>
      <w:r>
        <w:rPr>
          <w:lang w:val="en-GB"/>
        </w:rPr>
        <w:t xml:space="preserve"> does not enter into a </w:t>
      </w:r>
      <w:r w:rsidR="0086348A">
        <w:rPr>
          <w:lang w:val="en-GB"/>
        </w:rPr>
        <w:t xml:space="preserve">Framework </w:t>
      </w:r>
      <w:r w:rsidR="00CA0A60">
        <w:rPr>
          <w:lang w:val="en-GB"/>
        </w:rPr>
        <w:t>contract</w:t>
      </w:r>
      <w:r>
        <w:rPr>
          <w:lang w:val="en-GB"/>
        </w:rPr>
        <w:t xml:space="preserve"> with a tenderer who or a member of the administrative, management or supervisory body or other legal or </w:t>
      </w:r>
      <w:r w:rsidR="00CA0A60">
        <w:rPr>
          <w:lang w:val="en-GB"/>
        </w:rPr>
        <w:t>contract</w:t>
      </w:r>
      <w:r>
        <w:rPr>
          <w:lang w:val="en-GB"/>
        </w:rPr>
        <w:t xml:space="preserve">ual representative related to the public procurement in question has, to the </w:t>
      </w:r>
      <w:r w:rsidR="00CA0A60">
        <w:rPr>
          <w:lang w:val="en-GB"/>
        </w:rPr>
        <w:t>Contract</w:t>
      </w:r>
      <w:r w:rsidR="00B6720A">
        <w:rPr>
          <w:lang w:val="en-GB"/>
        </w:rPr>
        <w:t>ing authority</w:t>
      </w:r>
      <w:r>
        <w:rPr>
          <w:lang w:val="en-GB"/>
        </w:rPr>
        <w:t>'s knowledge,</w:t>
      </w:r>
      <w:hyperlink r:id="rId15" w:anchor="para95" w:tgtFrame="_blank" w:history="1">
        <w:r>
          <w:rPr>
            <w:lang w:val="en-GB"/>
          </w:rPr>
          <w:t xml:space="preserve"> </w:t>
        </w:r>
        <w:r>
          <w:rPr>
            <w:color w:val="auto"/>
            <w:lang w:val="en-GB"/>
          </w:rPr>
          <w:t>the grounds for exclusion provided for in subsection 95 (1)</w:t>
        </w:r>
      </w:hyperlink>
      <w:r>
        <w:rPr>
          <w:color w:val="auto"/>
          <w:lang w:val="en-GB"/>
        </w:rPr>
        <w:t xml:space="preserve"> </w:t>
      </w:r>
      <w:r>
        <w:rPr>
          <w:lang w:val="en-GB"/>
        </w:rPr>
        <w:t xml:space="preserve">of the Public Procurement Act. Before awarding the </w:t>
      </w:r>
      <w:r w:rsidR="00CA0A60">
        <w:rPr>
          <w:lang w:val="en-GB"/>
        </w:rPr>
        <w:t>contract</w:t>
      </w:r>
      <w:r>
        <w:rPr>
          <w:lang w:val="en-GB"/>
        </w:rPr>
        <w:t xml:space="preserve">, the </w:t>
      </w:r>
      <w:r w:rsidR="00CA0A60">
        <w:rPr>
          <w:lang w:val="en-GB"/>
        </w:rPr>
        <w:t>Contract</w:t>
      </w:r>
      <w:r w:rsidR="00B6720A">
        <w:rPr>
          <w:lang w:val="en-GB"/>
        </w:rPr>
        <w:t>ing authority</w:t>
      </w:r>
      <w:r>
        <w:rPr>
          <w:lang w:val="en-GB"/>
        </w:rPr>
        <w:t xml:space="preserve"> demands, where necessary, that the successful tenderer submit the required documents, unless the data are available to the </w:t>
      </w:r>
      <w:r w:rsidR="00CA0A60">
        <w:rPr>
          <w:lang w:val="en-GB"/>
        </w:rPr>
        <w:t>Contract</w:t>
      </w:r>
      <w:r w:rsidR="00B6720A">
        <w:rPr>
          <w:lang w:val="en-GB"/>
        </w:rPr>
        <w:t>ing authority</w:t>
      </w:r>
      <w:r>
        <w:rPr>
          <w:lang w:val="en-GB"/>
        </w:rPr>
        <w:t xml:space="preserve"> free of charge on the basis of data in a database or the </w:t>
      </w:r>
      <w:r w:rsidR="00CA0A60">
        <w:rPr>
          <w:lang w:val="en-GB"/>
        </w:rPr>
        <w:t>Contract</w:t>
      </w:r>
      <w:r w:rsidR="00B6720A">
        <w:rPr>
          <w:lang w:val="en-GB"/>
        </w:rPr>
        <w:t>ing authority</w:t>
      </w:r>
      <w:r>
        <w:rPr>
          <w:lang w:val="en-GB"/>
        </w:rPr>
        <w:t xml:space="preserve"> has the data on the basis of data or documents previously existing. </w:t>
      </w:r>
    </w:p>
    <w:p w14:paraId="5AAEF723" w14:textId="6F2976DD" w:rsidR="00016156" w:rsidRPr="00016156" w:rsidRDefault="00090D8D" w:rsidP="00016156">
      <w:pPr>
        <w:pStyle w:val="Default"/>
        <w:numPr>
          <w:ilvl w:val="1"/>
          <w:numId w:val="9"/>
        </w:numPr>
        <w:jc w:val="both"/>
        <w:rPr>
          <w:color w:val="auto"/>
        </w:rPr>
      </w:pPr>
      <w:r>
        <w:rPr>
          <w:color w:val="auto"/>
          <w:lang w:val="en-GB"/>
        </w:rPr>
        <w:t>Only candidates, joint candidates, tenderers, joint tenderers, sub</w:t>
      </w:r>
      <w:r w:rsidR="00CA0A60">
        <w:rPr>
          <w:color w:val="auto"/>
          <w:lang w:val="en-GB"/>
        </w:rPr>
        <w:t>contract</w:t>
      </w:r>
      <w:r>
        <w:rPr>
          <w:color w:val="auto"/>
          <w:lang w:val="en-GB"/>
        </w:rPr>
        <w:t xml:space="preserve">ors whose place of residence or domicile is in a country specified in subsection 3 (2) of the Public Procurement Act (Estonia, another European Union Member State, another </w:t>
      </w:r>
      <w:r w:rsidR="00CA0A60">
        <w:rPr>
          <w:color w:val="auto"/>
          <w:lang w:val="en-GB"/>
        </w:rPr>
        <w:t>contract</w:t>
      </w:r>
      <w:r>
        <w:rPr>
          <w:color w:val="auto"/>
          <w:lang w:val="en-GB"/>
        </w:rPr>
        <w:t xml:space="preserve">ing party of the European Economic Area or a country party to the Government Procurement Agreement of the World Trade Organisation) can participate in the public procurement. Pursuant to subsection 95 (4) 12) of the Public Procurement Act, the </w:t>
      </w:r>
      <w:r w:rsidR="00CA0A60">
        <w:rPr>
          <w:color w:val="auto"/>
          <w:lang w:val="en-GB"/>
        </w:rPr>
        <w:t>Contract</w:t>
      </w:r>
      <w:r w:rsidR="00B6720A">
        <w:rPr>
          <w:color w:val="auto"/>
          <w:lang w:val="en-GB"/>
        </w:rPr>
        <w:t>ing authority</w:t>
      </w:r>
      <w:r>
        <w:rPr>
          <w:color w:val="auto"/>
          <w:lang w:val="en-GB"/>
        </w:rPr>
        <w:t xml:space="preserve"> may exclude from the procurement procedure candidates or joint candidates, tenderers or joint tenderers who do not have the right to submit an application or a tender. If the sub</w:t>
      </w:r>
      <w:r w:rsidR="00CA0A60">
        <w:rPr>
          <w:color w:val="auto"/>
          <w:lang w:val="en-GB"/>
        </w:rPr>
        <w:t>contract</w:t>
      </w:r>
      <w:r>
        <w:rPr>
          <w:color w:val="auto"/>
          <w:lang w:val="en-GB"/>
        </w:rPr>
        <w:t xml:space="preserve">or has the grounds provided for in subsection 95 (4), the </w:t>
      </w:r>
      <w:r w:rsidR="00CA0A60">
        <w:rPr>
          <w:color w:val="auto"/>
          <w:lang w:val="en-GB"/>
        </w:rPr>
        <w:t>Contract</w:t>
      </w:r>
      <w:r w:rsidR="00B6720A">
        <w:rPr>
          <w:color w:val="auto"/>
          <w:lang w:val="en-GB"/>
        </w:rPr>
        <w:t>ing authority</w:t>
      </w:r>
      <w:r>
        <w:rPr>
          <w:color w:val="auto"/>
          <w:lang w:val="en-GB"/>
        </w:rPr>
        <w:t xml:space="preserve"> may require the tenderer to replace such sub</w:t>
      </w:r>
      <w:r w:rsidR="00CA0A60">
        <w:rPr>
          <w:color w:val="auto"/>
          <w:lang w:val="en-GB"/>
        </w:rPr>
        <w:t>contract</w:t>
      </w:r>
      <w:r>
        <w:rPr>
          <w:color w:val="auto"/>
          <w:lang w:val="en-GB"/>
        </w:rPr>
        <w:t>or.</w:t>
      </w:r>
    </w:p>
    <w:p w14:paraId="054BE0D2" w14:textId="77777777" w:rsidR="00016156" w:rsidRPr="00B50FB5" w:rsidRDefault="00016156" w:rsidP="00B50FB5">
      <w:pPr>
        <w:ind w:left="360"/>
        <w:rPr>
          <w:szCs w:val="24"/>
        </w:rPr>
      </w:pPr>
    </w:p>
    <w:p w14:paraId="4AFC895E" w14:textId="77777777" w:rsidR="008606C5" w:rsidRPr="00B50FB5" w:rsidRDefault="00090D8D" w:rsidP="00B50FB5">
      <w:pPr>
        <w:pStyle w:val="Default"/>
        <w:numPr>
          <w:ilvl w:val="0"/>
          <w:numId w:val="9"/>
        </w:numPr>
        <w:jc w:val="both"/>
        <w:rPr>
          <w:color w:val="auto"/>
        </w:rPr>
      </w:pPr>
      <w:r>
        <w:rPr>
          <w:b/>
          <w:bCs/>
          <w:color w:val="auto"/>
          <w:lang w:val="en-GB"/>
        </w:rPr>
        <w:t>Confirmation, Evaluation and Success of the Tender</w:t>
      </w:r>
    </w:p>
    <w:p w14:paraId="552EB403" w14:textId="3FA448E1" w:rsidR="008606C5" w:rsidRPr="00B50FB5" w:rsidRDefault="00090D8D" w:rsidP="00B50FB5">
      <w:pPr>
        <w:pStyle w:val="ListParagraph"/>
        <w:numPr>
          <w:ilvl w:val="1"/>
          <w:numId w:val="9"/>
        </w:numPr>
        <w:rPr>
          <w:szCs w:val="24"/>
        </w:rPr>
      </w:pPr>
      <w:r>
        <w:rPr>
          <w:szCs w:val="24"/>
          <w:lang w:val="en-GB"/>
        </w:rPr>
        <w:t xml:space="preserve">The </w:t>
      </w:r>
      <w:r w:rsidR="00CA0A60">
        <w:rPr>
          <w:szCs w:val="24"/>
          <w:lang w:val="en-GB"/>
        </w:rPr>
        <w:t>Contract</w:t>
      </w:r>
      <w:r w:rsidR="00B6720A">
        <w:rPr>
          <w:szCs w:val="24"/>
          <w:lang w:val="en-GB"/>
        </w:rPr>
        <w:t>ing authority</w:t>
      </w:r>
      <w:r>
        <w:rPr>
          <w:szCs w:val="24"/>
          <w:lang w:val="en-GB"/>
        </w:rPr>
        <w:t xml:space="preserve"> shall open the tender submitted by the term and verify its compliance with the terms and conditions set out in the procurement documents. </w:t>
      </w:r>
    </w:p>
    <w:p w14:paraId="7BBCC143" w14:textId="77777777" w:rsidR="008606C5" w:rsidRPr="00B50FB5" w:rsidRDefault="00090D8D" w:rsidP="00B50FB5">
      <w:pPr>
        <w:pStyle w:val="ListParagraph"/>
        <w:numPr>
          <w:ilvl w:val="1"/>
          <w:numId w:val="9"/>
        </w:numPr>
        <w:rPr>
          <w:szCs w:val="24"/>
        </w:rPr>
      </w:pPr>
      <w:r>
        <w:rPr>
          <w:szCs w:val="24"/>
          <w:lang w:val="en-GB"/>
        </w:rPr>
        <w:t xml:space="preserve">A tender is declared suitable if it is in compliance with all the terms and conditions set out in the PEE or if there are no substantial deviations from the terms and conditions established.  </w:t>
      </w:r>
    </w:p>
    <w:p w14:paraId="134F0FF1" w14:textId="5FBABD49" w:rsidR="008606C5" w:rsidRPr="00B50FB5" w:rsidRDefault="00090D8D" w:rsidP="00B50FB5">
      <w:pPr>
        <w:pStyle w:val="CommentText"/>
        <w:numPr>
          <w:ilvl w:val="1"/>
          <w:numId w:val="9"/>
        </w:numPr>
        <w:rPr>
          <w:sz w:val="24"/>
          <w:szCs w:val="24"/>
        </w:rPr>
      </w:pPr>
      <w:r>
        <w:rPr>
          <w:sz w:val="24"/>
          <w:szCs w:val="24"/>
          <w:lang w:val="en-GB"/>
        </w:rPr>
        <w:t xml:space="preserve">At the request of the </w:t>
      </w:r>
      <w:r w:rsidR="00CA0A60">
        <w:rPr>
          <w:sz w:val="24"/>
          <w:szCs w:val="24"/>
          <w:lang w:val="en-GB"/>
        </w:rPr>
        <w:t>Contract</w:t>
      </w:r>
      <w:r w:rsidR="00B6720A">
        <w:rPr>
          <w:sz w:val="24"/>
          <w:szCs w:val="24"/>
          <w:lang w:val="en-GB"/>
        </w:rPr>
        <w:t>ing authority</w:t>
      </w:r>
      <w:r>
        <w:rPr>
          <w:sz w:val="24"/>
          <w:szCs w:val="24"/>
          <w:lang w:val="en-GB"/>
        </w:rPr>
        <w:t xml:space="preserve">, a tenderer must explain, delimit or specify the information set out in its tender. </w:t>
      </w:r>
    </w:p>
    <w:p w14:paraId="5B2359E7" w14:textId="09408FCA" w:rsidR="008606C5" w:rsidRPr="00B50FB5" w:rsidRDefault="00090D8D" w:rsidP="00B50FB5">
      <w:pPr>
        <w:pStyle w:val="Default"/>
        <w:numPr>
          <w:ilvl w:val="1"/>
          <w:numId w:val="9"/>
        </w:numPr>
        <w:jc w:val="both"/>
        <w:rPr>
          <w:color w:val="auto"/>
        </w:rPr>
      </w:pPr>
      <w:r>
        <w:rPr>
          <w:color w:val="auto"/>
          <w:lang w:val="en-GB"/>
        </w:rPr>
        <w:t xml:space="preserve">The </w:t>
      </w:r>
      <w:r w:rsidR="00CA0A60">
        <w:rPr>
          <w:color w:val="auto"/>
          <w:lang w:val="en-GB"/>
        </w:rPr>
        <w:t>Contract</w:t>
      </w:r>
      <w:r w:rsidR="00B6720A">
        <w:rPr>
          <w:color w:val="auto"/>
          <w:lang w:val="en-GB"/>
        </w:rPr>
        <w:t>ing authority</w:t>
      </w:r>
      <w:r>
        <w:rPr>
          <w:color w:val="auto"/>
          <w:lang w:val="en-GB"/>
        </w:rPr>
        <w:t xml:space="preserve"> shall have the right to reject a tender if it does not meet the conditions laid down in the PEE.</w:t>
      </w:r>
    </w:p>
    <w:p w14:paraId="763CEC73" w14:textId="77777777" w:rsidR="008606C5" w:rsidRPr="00B50FB5" w:rsidRDefault="00090D8D" w:rsidP="00B50FB5">
      <w:pPr>
        <w:pStyle w:val="Default"/>
        <w:numPr>
          <w:ilvl w:val="1"/>
          <w:numId w:val="9"/>
        </w:numPr>
        <w:jc w:val="both"/>
        <w:rPr>
          <w:color w:val="auto"/>
        </w:rPr>
      </w:pPr>
      <w:r>
        <w:rPr>
          <w:color w:val="auto"/>
          <w:lang w:val="en-GB"/>
        </w:rPr>
        <w:t xml:space="preserve">A tenderer whose tender has been rejected shall not participate in the further procurement procedure.  </w:t>
      </w:r>
    </w:p>
    <w:p w14:paraId="1A47E972" w14:textId="7A053B45" w:rsidR="008606C5" w:rsidRPr="00B50FB5" w:rsidRDefault="00090D8D" w:rsidP="00B50FB5">
      <w:pPr>
        <w:pStyle w:val="Default"/>
        <w:numPr>
          <w:ilvl w:val="1"/>
          <w:numId w:val="9"/>
        </w:numPr>
        <w:jc w:val="both"/>
        <w:rPr>
          <w:color w:val="auto"/>
        </w:rPr>
      </w:pPr>
      <w:r>
        <w:rPr>
          <w:color w:val="auto"/>
          <w:lang w:val="en-GB"/>
        </w:rPr>
        <w:t xml:space="preserve">Tenders declared to be in conformity shall be evaluated by the </w:t>
      </w:r>
      <w:r w:rsidR="00CA0A60">
        <w:rPr>
          <w:color w:val="auto"/>
          <w:lang w:val="en-GB"/>
        </w:rPr>
        <w:t>Contract</w:t>
      </w:r>
      <w:r w:rsidR="00B6720A">
        <w:rPr>
          <w:color w:val="auto"/>
          <w:lang w:val="en-GB"/>
        </w:rPr>
        <w:t>ing authority</w:t>
      </w:r>
      <w:r>
        <w:rPr>
          <w:color w:val="auto"/>
          <w:lang w:val="en-GB"/>
        </w:rPr>
        <w:t xml:space="preserve"> on the basis of the evaluation criteria published in the procurement documents in the 100-value point system. </w:t>
      </w:r>
    </w:p>
    <w:p w14:paraId="53D38305" w14:textId="77777777" w:rsidR="008606C5" w:rsidRPr="00B50FB5" w:rsidRDefault="00090D8D" w:rsidP="00B50FB5">
      <w:pPr>
        <w:pStyle w:val="Default"/>
        <w:numPr>
          <w:ilvl w:val="1"/>
          <w:numId w:val="9"/>
        </w:numPr>
        <w:jc w:val="both"/>
        <w:rPr>
          <w:color w:val="auto"/>
        </w:rPr>
      </w:pPr>
      <w:r>
        <w:rPr>
          <w:color w:val="auto"/>
          <w:lang w:val="en-GB"/>
        </w:rPr>
        <w:t>The most economically advantageous tender shall be declared successful on the basis of the evaluation criteria set out in the procurement documents.</w:t>
      </w:r>
    </w:p>
    <w:p w14:paraId="74563107" w14:textId="5C10CB0A" w:rsidR="008606C5" w:rsidRPr="00B50FB5" w:rsidRDefault="00090D8D" w:rsidP="00B50FB5">
      <w:pPr>
        <w:pStyle w:val="ListParagraph"/>
        <w:numPr>
          <w:ilvl w:val="1"/>
          <w:numId w:val="9"/>
        </w:numPr>
        <w:rPr>
          <w:rFonts w:eastAsia="Calibri"/>
          <w:szCs w:val="24"/>
        </w:rPr>
      </w:pPr>
      <w:r>
        <w:rPr>
          <w:spacing w:val="-5"/>
          <w:szCs w:val="24"/>
          <w:lang w:val="en-GB"/>
        </w:rPr>
        <w:t xml:space="preserve">The </w:t>
      </w:r>
      <w:r w:rsidR="00CA0A60">
        <w:rPr>
          <w:spacing w:val="-5"/>
          <w:szCs w:val="24"/>
          <w:lang w:val="en-GB"/>
        </w:rPr>
        <w:t>Contract</w:t>
      </w:r>
      <w:r w:rsidR="00B6720A">
        <w:rPr>
          <w:spacing w:val="-5"/>
          <w:szCs w:val="24"/>
          <w:lang w:val="en-GB"/>
        </w:rPr>
        <w:t>ing authority</w:t>
      </w:r>
      <w:r>
        <w:rPr>
          <w:spacing w:val="-5"/>
          <w:szCs w:val="24"/>
          <w:lang w:val="en-GB"/>
        </w:rPr>
        <w:t xml:space="preserve"> shall have the right to discuss all aspects of the tender at any time before the conclusion of the </w:t>
      </w:r>
      <w:r w:rsidR="00CA0A60">
        <w:rPr>
          <w:spacing w:val="-5"/>
          <w:szCs w:val="24"/>
          <w:lang w:val="en-GB"/>
        </w:rPr>
        <w:t>Contract</w:t>
      </w:r>
      <w:r>
        <w:rPr>
          <w:spacing w:val="-5"/>
          <w:szCs w:val="24"/>
          <w:lang w:val="en-GB"/>
        </w:rPr>
        <w:t xml:space="preserve"> and, if necessary, to request clarification and modifications to the submitted tender.</w:t>
      </w:r>
    </w:p>
    <w:p w14:paraId="29A3CE0F" w14:textId="77777777" w:rsidR="008606C5" w:rsidRPr="00B50FB5" w:rsidRDefault="008606C5" w:rsidP="00B50FB5">
      <w:pPr>
        <w:pStyle w:val="Default"/>
        <w:jc w:val="both"/>
        <w:rPr>
          <w:color w:val="auto"/>
        </w:rPr>
      </w:pPr>
    </w:p>
    <w:p w14:paraId="0C24DA50" w14:textId="77777777" w:rsidR="008606C5" w:rsidRPr="00B50FB5" w:rsidRDefault="00090D8D" w:rsidP="00B50FB5">
      <w:pPr>
        <w:numPr>
          <w:ilvl w:val="0"/>
          <w:numId w:val="9"/>
        </w:numPr>
        <w:rPr>
          <w:szCs w:val="24"/>
        </w:rPr>
      </w:pPr>
      <w:r>
        <w:rPr>
          <w:b/>
          <w:bCs/>
          <w:szCs w:val="24"/>
          <w:lang w:val="en-GB"/>
        </w:rPr>
        <w:lastRenderedPageBreak/>
        <w:t>Rejection of tenders. Annulment of public procurement</w:t>
      </w:r>
    </w:p>
    <w:p w14:paraId="7CD7DFC3" w14:textId="30F76411" w:rsidR="009035DB" w:rsidRPr="00464375" w:rsidRDefault="00090D8D" w:rsidP="009035DB">
      <w:pPr>
        <w:numPr>
          <w:ilvl w:val="1"/>
          <w:numId w:val="9"/>
        </w:numPr>
        <w:tabs>
          <w:tab w:val="left" w:pos="567"/>
        </w:tabs>
        <w:rPr>
          <w:szCs w:val="24"/>
        </w:rPr>
      </w:pPr>
      <w:r>
        <w:rPr>
          <w:spacing w:val="-5"/>
          <w:szCs w:val="24"/>
          <w:lang w:val="en-GB"/>
        </w:rPr>
        <w:t xml:space="preserve">The </w:t>
      </w:r>
      <w:r w:rsidR="00CA0A60">
        <w:rPr>
          <w:spacing w:val="-5"/>
          <w:szCs w:val="24"/>
          <w:lang w:val="en-GB"/>
        </w:rPr>
        <w:t>Contract</w:t>
      </w:r>
      <w:r w:rsidR="00B6720A">
        <w:rPr>
          <w:spacing w:val="-5"/>
          <w:szCs w:val="24"/>
          <w:lang w:val="en-GB"/>
        </w:rPr>
        <w:t>ing authority</w:t>
      </w:r>
      <w:r>
        <w:rPr>
          <w:spacing w:val="-5"/>
          <w:szCs w:val="24"/>
          <w:lang w:val="en-GB"/>
        </w:rPr>
        <w:t xml:space="preserve"> has the right to reject the tender at any time prior to the conclusion of the </w:t>
      </w:r>
      <w:r w:rsidR="0086348A">
        <w:rPr>
          <w:spacing w:val="-5"/>
          <w:szCs w:val="24"/>
          <w:lang w:val="en-GB"/>
        </w:rPr>
        <w:t xml:space="preserve">Framework </w:t>
      </w:r>
      <w:r w:rsidR="00CA0A60">
        <w:rPr>
          <w:spacing w:val="-5"/>
          <w:szCs w:val="24"/>
          <w:lang w:val="en-GB"/>
        </w:rPr>
        <w:t>contract</w:t>
      </w:r>
      <w:r>
        <w:rPr>
          <w:spacing w:val="-5"/>
          <w:szCs w:val="24"/>
          <w:lang w:val="en-GB"/>
        </w:rPr>
        <w:t xml:space="preserve">, if: </w:t>
      </w:r>
    </w:p>
    <w:p w14:paraId="00B03E98" w14:textId="69B8D5B2" w:rsidR="009035DB" w:rsidRPr="00464375" w:rsidRDefault="00090D8D" w:rsidP="009035DB">
      <w:pPr>
        <w:numPr>
          <w:ilvl w:val="2"/>
          <w:numId w:val="9"/>
        </w:numPr>
        <w:rPr>
          <w:szCs w:val="24"/>
        </w:rPr>
      </w:pPr>
      <w:r>
        <w:rPr>
          <w:szCs w:val="24"/>
          <w:lang w:val="en-GB"/>
        </w:rPr>
        <w:t xml:space="preserve">the tender has not been declared suitable or cannot be declared suitable due to the different needs of the </w:t>
      </w:r>
      <w:r w:rsidR="00CA0A60">
        <w:rPr>
          <w:szCs w:val="24"/>
          <w:lang w:val="en-GB"/>
        </w:rPr>
        <w:t>Contract</w:t>
      </w:r>
      <w:r w:rsidR="00B6720A">
        <w:rPr>
          <w:szCs w:val="24"/>
          <w:lang w:val="en-GB"/>
        </w:rPr>
        <w:t>ing authority</w:t>
      </w:r>
      <w:r>
        <w:rPr>
          <w:szCs w:val="24"/>
          <w:lang w:val="en-GB"/>
        </w:rPr>
        <w:t>;</w:t>
      </w:r>
    </w:p>
    <w:p w14:paraId="045DFF5A" w14:textId="15C9323A" w:rsidR="009035DB" w:rsidRPr="00464375" w:rsidRDefault="00090D8D" w:rsidP="009035DB">
      <w:pPr>
        <w:numPr>
          <w:ilvl w:val="2"/>
          <w:numId w:val="9"/>
        </w:numPr>
        <w:rPr>
          <w:szCs w:val="24"/>
        </w:rPr>
      </w:pPr>
      <w:r>
        <w:rPr>
          <w:szCs w:val="24"/>
          <w:lang w:val="en-GB"/>
        </w:rPr>
        <w:t xml:space="preserve">the values of all tenders received exceed the estimated value of the procurement and financial possibilities of the </w:t>
      </w:r>
      <w:r w:rsidR="00CA0A60">
        <w:rPr>
          <w:szCs w:val="24"/>
          <w:lang w:val="en-GB"/>
        </w:rPr>
        <w:t>Contract</w:t>
      </w:r>
      <w:r w:rsidR="00B6720A">
        <w:rPr>
          <w:szCs w:val="24"/>
          <w:lang w:val="en-GB"/>
        </w:rPr>
        <w:t>ing authority</w:t>
      </w:r>
      <w:r>
        <w:rPr>
          <w:szCs w:val="24"/>
          <w:lang w:val="en-GB"/>
        </w:rPr>
        <w:t xml:space="preserve"> to such an extent that the award of the public </w:t>
      </w:r>
      <w:r w:rsidR="00CA0A60">
        <w:rPr>
          <w:szCs w:val="24"/>
          <w:lang w:val="en-GB"/>
        </w:rPr>
        <w:t>contract</w:t>
      </w:r>
      <w:r>
        <w:rPr>
          <w:szCs w:val="24"/>
          <w:lang w:val="en-GB"/>
        </w:rPr>
        <w:t xml:space="preserve"> with such a value is unacceptable;</w:t>
      </w:r>
    </w:p>
    <w:p w14:paraId="2519C0AB" w14:textId="0F704C1E" w:rsidR="009035DB" w:rsidRPr="00464375" w:rsidRDefault="00090D8D" w:rsidP="009035DB">
      <w:pPr>
        <w:numPr>
          <w:ilvl w:val="2"/>
          <w:numId w:val="9"/>
        </w:numPr>
        <w:rPr>
          <w:szCs w:val="24"/>
        </w:rPr>
      </w:pPr>
      <w:r>
        <w:rPr>
          <w:szCs w:val="24"/>
          <w:lang w:val="en-GB"/>
        </w:rPr>
        <w:t xml:space="preserve">the conditions on the grounds of which a public </w:t>
      </w:r>
      <w:r w:rsidR="00CA0A60">
        <w:rPr>
          <w:szCs w:val="24"/>
          <w:lang w:val="en-GB"/>
        </w:rPr>
        <w:t>contract</w:t>
      </w:r>
      <w:r>
        <w:rPr>
          <w:szCs w:val="24"/>
          <w:lang w:val="en-GB"/>
        </w:rPr>
        <w:t xml:space="preserve"> is carried out have changed significantly and it therefore proves unnecessary or impossible to conclude a </w:t>
      </w:r>
      <w:r w:rsidR="0086348A">
        <w:rPr>
          <w:szCs w:val="24"/>
          <w:lang w:val="en-GB"/>
        </w:rPr>
        <w:t xml:space="preserve">framework </w:t>
      </w:r>
      <w:r w:rsidR="00CA0A60">
        <w:rPr>
          <w:szCs w:val="24"/>
          <w:lang w:val="en-GB"/>
        </w:rPr>
        <w:t>contract</w:t>
      </w:r>
      <w:r>
        <w:rPr>
          <w:szCs w:val="24"/>
          <w:lang w:val="en-GB"/>
        </w:rPr>
        <w:t>;</w:t>
      </w:r>
    </w:p>
    <w:p w14:paraId="68011C18" w14:textId="77777777" w:rsidR="009035DB" w:rsidRPr="00464375" w:rsidRDefault="00090D8D" w:rsidP="009035DB">
      <w:pPr>
        <w:numPr>
          <w:ilvl w:val="2"/>
          <w:numId w:val="9"/>
        </w:numPr>
        <w:rPr>
          <w:szCs w:val="24"/>
        </w:rPr>
      </w:pPr>
      <w:r>
        <w:rPr>
          <w:szCs w:val="24"/>
          <w:lang w:val="en-GB"/>
        </w:rPr>
        <w:t xml:space="preserve">it is not possible to eliminate the inconsistencies that have arisen in public procurement and therefore to complete the procedure in a lawful manner; </w:t>
      </w:r>
    </w:p>
    <w:p w14:paraId="0D9FB993" w14:textId="39DD013C" w:rsidR="009035DB" w:rsidRPr="00464375" w:rsidRDefault="00090D8D" w:rsidP="009035DB">
      <w:pPr>
        <w:numPr>
          <w:ilvl w:val="2"/>
          <w:numId w:val="9"/>
        </w:numPr>
        <w:rPr>
          <w:szCs w:val="24"/>
        </w:rPr>
      </w:pPr>
      <w:r>
        <w:rPr>
          <w:szCs w:val="24"/>
          <w:lang w:val="en-GB"/>
        </w:rPr>
        <w:t xml:space="preserve">in the absence of agreement on the terms of the </w:t>
      </w:r>
      <w:r w:rsidR="0086348A">
        <w:rPr>
          <w:szCs w:val="24"/>
          <w:lang w:val="en-GB"/>
        </w:rPr>
        <w:t xml:space="preserve">Framework </w:t>
      </w:r>
      <w:r w:rsidR="00CA0A60">
        <w:rPr>
          <w:szCs w:val="24"/>
          <w:lang w:val="en-GB"/>
        </w:rPr>
        <w:t>contract</w:t>
      </w:r>
      <w:r>
        <w:rPr>
          <w:szCs w:val="24"/>
          <w:lang w:val="en-GB"/>
        </w:rPr>
        <w:t xml:space="preserve"> during the negotiations;</w:t>
      </w:r>
    </w:p>
    <w:p w14:paraId="439EE6F6" w14:textId="6F0D5DBE" w:rsidR="009035DB" w:rsidRPr="00464375" w:rsidRDefault="00090D8D" w:rsidP="009035DB">
      <w:pPr>
        <w:numPr>
          <w:ilvl w:val="2"/>
          <w:numId w:val="9"/>
        </w:numPr>
        <w:rPr>
          <w:szCs w:val="24"/>
        </w:rPr>
      </w:pPr>
      <w:r>
        <w:rPr>
          <w:szCs w:val="24"/>
          <w:lang w:val="en-GB"/>
        </w:rPr>
        <w:t xml:space="preserve">for unforeseeable objective reasons independent of the </w:t>
      </w:r>
      <w:r w:rsidR="00CA0A60">
        <w:rPr>
          <w:szCs w:val="24"/>
          <w:lang w:val="en-GB"/>
        </w:rPr>
        <w:t>Contract</w:t>
      </w:r>
      <w:r w:rsidR="00B6720A">
        <w:rPr>
          <w:szCs w:val="24"/>
          <w:lang w:val="en-GB"/>
        </w:rPr>
        <w:t>ing authority</w:t>
      </w:r>
      <w:r>
        <w:rPr>
          <w:szCs w:val="24"/>
          <w:lang w:val="en-GB"/>
        </w:rPr>
        <w:t xml:space="preserve">, if the </w:t>
      </w:r>
      <w:r w:rsidR="00CA0A60">
        <w:rPr>
          <w:szCs w:val="24"/>
          <w:lang w:val="en-GB"/>
        </w:rPr>
        <w:t>Contract</w:t>
      </w:r>
      <w:r w:rsidR="00B6720A">
        <w:rPr>
          <w:szCs w:val="24"/>
          <w:lang w:val="en-GB"/>
        </w:rPr>
        <w:t>ing authority</w:t>
      </w:r>
      <w:r>
        <w:rPr>
          <w:szCs w:val="24"/>
          <w:lang w:val="en-GB"/>
        </w:rPr>
        <w:t xml:space="preserve"> has, during the process of the public procurement procedure, become aware of such new circumstances that exclude the completion of the procurement procedure on the terms and conditions established in the PEE or make it unreasonable for the </w:t>
      </w:r>
      <w:r w:rsidR="00CA0A60">
        <w:rPr>
          <w:szCs w:val="24"/>
          <w:lang w:val="en-GB"/>
        </w:rPr>
        <w:t>Contract</w:t>
      </w:r>
      <w:r w:rsidR="00B6720A">
        <w:rPr>
          <w:szCs w:val="24"/>
          <w:lang w:val="en-GB"/>
        </w:rPr>
        <w:t>ing authority</w:t>
      </w:r>
      <w:r>
        <w:rPr>
          <w:szCs w:val="24"/>
          <w:lang w:val="en-GB"/>
        </w:rPr>
        <w:t xml:space="preserve"> (incl. amendments to laws or other legislation). </w:t>
      </w:r>
    </w:p>
    <w:p w14:paraId="420F4BCD" w14:textId="10919BDC" w:rsidR="009035DB" w:rsidRPr="00464375" w:rsidRDefault="00090D8D" w:rsidP="009035DB">
      <w:pPr>
        <w:pStyle w:val="Laad2"/>
        <w:numPr>
          <w:ilvl w:val="1"/>
          <w:numId w:val="9"/>
        </w:numPr>
      </w:pPr>
      <w:r>
        <w:rPr>
          <w:lang w:val="en-GB"/>
        </w:rPr>
        <w:t xml:space="preserve">If justified, the </w:t>
      </w:r>
      <w:r w:rsidR="00CA0A60">
        <w:rPr>
          <w:lang w:val="en-GB"/>
        </w:rPr>
        <w:t>Contract</w:t>
      </w:r>
      <w:r w:rsidR="00B6720A">
        <w:rPr>
          <w:lang w:val="en-GB"/>
        </w:rPr>
        <w:t>ing authority</w:t>
      </w:r>
      <w:r>
        <w:rPr>
          <w:lang w:val="en-GB"/>
        </w:rPr>
        <w:t xml:space="preserve"> may, on its own initiative, annul the procurement procedure. In particular, but not limited to, justifiable needs are:</w:t>
      </w:r>
    </w:p>
    <w:p w14:paraId="5FDBC88B" w14:textId="6891EFD4" w:rsidR="009035DB" w:rsidRPr="00464375" w:rsidRDefault="00090D8D" w:rsidP="009035DB">
      <w:pPr>
        <w:pStyle w:val="Laad2"/>
        <w:numPr>
          <w:ilvl w:val="2"/>
          <w:numId w:val="9"/>
        </w:numPr>
      </w:pPr>
      <w:r>
        <w:rPr>
          <w:lang w:val="en-GB"/>
        </w:rPr>
        <w:t>the need for substantial changes to the subject-matter of the Framework</w:t>
      </w:r>
      <w:r w:rsidR="0086348A">
        <w:rPr>
          <w:lang w:val="en-GB"/>
        </w:rPr>
        <w:t xml:space="preserve"> </w:t>
      </w:r>
      <w:r w:rsidR="00CA0A60">
        <w:rPr>
          <w:lang w:val="en-GB"/>
        </w:rPr>
        <w:t>contract</w:t>
      </w:r>
      <w:r>
        <w:rPr>
          <w:lang w:val="en-GB"/>
        </w:rPr>
        <w:t>;</w:t>
      </w:r>
    </w:p>
    <w:p w14:paraId="0DA96ADE" w14:textId="1F6867AF" w:rsidR="009035DB" w:rsidRPr="00464375" w:rsidRDefault="00090D8D" w:rsidP="009035DB">
      <w:pPr>
        <w:pStyle w:val="Laad2"/>
        <w:numPr>
          <w:ilvl w:val="2"/>
          <w:numId w:val="9"/>
        </w:numPr>
      </w:pPr>
      <w:r>
        <w:rPr>
          <w:lang w:val="en-GB"/>
        </w:rPr>
        <w:t xml:space="preserve">the conditions on the grounds of which a public </w:t>
      </w:r>
      <w:r w:rsidR="00CA0A60">
        <w:rPr>
          <w:lang w:val="en-GB"/>
        </w:rPr>
        <w:t>contract</w:t>
      </w:r>
      <w:r>
        <w:rPr>
          <w:lang w:val="en-GB"/>
        </w:rPr>
        <w:t xml:space="preserve"> is carried out have changed significantly and it therefore proves unnecessary or impossible to conclude a </w:t>
      </w:r>
      <w:r w:rsidR="0086348A">
        <w:rPr>
          <w:rFonts w:cs="Arial"/>
          <w:shd w:val="clear" w:color="auto" w:fill="FFFFFF"/>
          <w:lang w:val="en-GB"/>
        </w:rPr>
        <w:t xml:space="preserve">Framework </w:t>
      </w:r>
      <w:r w:rsidR="00CA0A60">
        <w:rPr>
          <w:rFonts w:cs="Arial"/>
          <w:shd w:val="clear" w:color="auto" w:fill="FFFFFF"/>
          <w:lang w:val="en-GB"/>
        </w:rPr>
        <w:t>contract</w:t>
      </w:r>
      <w:r>
        <w:rPr>
          <w:lang w:val="en-GB"/>
        </w:rPr>
        <w:t>;</w:t>
      </w:r>
    </w:p>
    <w:p w14:paraId="37758F7B" w14:textId="77777777" w:rsidR="009035DB" w:rsidRPr="00464375" w:rsidRDefault="00090D8D" w:rsidP="009035DB">
      <w:pPr>
        <w:pStyle w:val="Laad2"/>
        <w:numPr>
          <w:ilvl w:val="2"/>
          <w:numId w:val="9"/>
        </w:numPr>
      </w:pPr>
      <w:r>
        <w:rPr>
          <w:lang w:val="en-GB"/>
        </w:rPr>
        <w:t>it is not possible to eliminate the inconsistencies that have arisen in public procurement and therefore to complete the procedure in a lawful manner;</w:t>
      </w:r>
    </w:p>
    <w:p w14:paraId="340E2A71" w14:textId="5575FB9E" w:rsidR="009035DB" w:rsidRPr="00464375" w:rsidRDefault="00090D8D" w:rsidP="009035DB">
      <w:pPr>
        <w:pStyle w:val="Laad2"/>
        <w:numPr>
          <w:ilvl w:val="2"/>
          <w:numId w:val="9"/>
        </w:numPr>
      </w:pPr>
      <w:r>
        <w:rPr>
          <w:rFonts w:cs="Arial"/>
          <w:lang w:val="en-GB"/>
        </w:rPr>
        <w:t xml:space="preserve">it is decided not to provide funding from the European Union funds and the state budget for the </w:t>
      </w:r>
      <w:r w:rsidR="00CA0A60">
        <w:rPr>
          <w:rFonts w:cs="Arial"/>
          <w:lang w:val="en-GB"/>
        </w:rPr>
        <w:t>Contract</w:t>
      </w:r>
      <w:r w:rsidR="00B6720A">
        <w:rPr>
          <w:rFonts w:cs="Arial"/>
          <w:lang w:val="en-GB"/>
        </w:rPr>
        <w:t>ing authority</w:t>
      </w:r>
      <w:r>
        <w:rPr>
          <w:rFonts w:cs="Arial"/>
          <w:lang w:val="en-GB"/>
        </w:rPr>
        <w:t xml:space="preserve">'s framework procurement of a self-service kiosk. </w:t>
      </w:r>
    </w:p>
    <w:p w14:paraId="1E7EF2D7" w14:textId="77777777" w:rsidR="008606C5" w:rsidRPr="00B50FB5" w:rsidRDefault="008606C5" w:rsidP="00B50FB5">
      <w:pPr>
        <w:rPr>
          <w:b/>
          <w:szCs w:val="24"/>
        </w:rPr>
      </w:pPr>
    </w:p>
    <w:p w14:paraId="0736E804" w14:textId="2A42C36D" w:rsidR="008606C5" w:rsidRPr="00B50FB5" w:rsidRDefault="00090D8D" w:rsidP="00B50FB5">
      <w:pPr>
        <w:pStyle w:val="ListParagraph"/>
        <w:numPr>
          <w:ilvl w:val="0"/>
          <w:numId w:val="9"/>
        </w:numPr>
        <w:autoSpaceDE w:val="0"/>
        <w:autoSpaceDN w:val="0"/>
        <w:adjustRightInd w:val="0"/>
        <w:rPr>
          <w:b/>
          <w:szCs w:val="24"/>
          <w:lang w:eastAsia="et-EE"/>
        </w:rPr>
      </w:pPr>
      <w:r>
        <w:rPr>
          <w:b/>
          <w:bCs/>
          <w:szCs w:val="24"/>
          <w:lang w:val="en-GB" w:eastAsia="et-EE"/>
        </w:rPr>
        <w:t xml:space="preserve"> </w:t>
      </w:r>
      <w:bookmarkEnd w:id="1"/>
      <w:r>
        <w:rPr>
          <w:b/>
          <w:bCs/>
          <w:szCs w:val="24"/>
          <w:lang w:val="en-GB" w:eastAsia="et-EE"/>
        </w:rPr>
        <w:t xml:space="preserve">Negotiation and conclusion of the </w:t>
      </w:r>
      <w:r w:rsidR="00CA0A60">
        <w:rPr>
          <w:b/>
          <w:bCs/>
          <w:szCs w:val="24"/>
          <w:lang w:val="en-GB" w:eastAsia="et-EE"/>
        </w:rPr>
        <w:t>c</w:t>
      </w:r>
      <w:r w:rsidR="00B6720A">
        <w:rPr>
          <w:b/>
          <w:bCs/>
          <w:szCs w:val="24"/>
          <w:lang w:val="en-GB" w:eastAsia="et-EE"/>
        </w:rPr>
        <w:t>ontract</w:t>
      </w:r>
    </w:p>
    <w:p w14:paraId="606FA6FC" w14:textId="4B20CDEF" w:rsidR="00E1662E" w:rsidRPr="0077283E" w:rsidRDefault="00090D8D" w:rsidP="009035DB">
      <w:pPr>
        <w:pStyle w:val="ListParagraph"/>
        <w:numPr>
          <w:ilvl w:val="1"/>
          <w:numId w:val="9"/>
        </w:numPr>
        <w:autoSpaceDE w:val="0"/>
        <w:autoSpaceDN w:val="0"/>
        <w:adjustRightInd w:val="0"/>
        <w:rPr>
          <w:szCs w:val="24"/>
        </w:rPr>
      </w:pPr>
      <w:r>
        <w:rPr>
          <w:szCs w:val="24"/>
          <w:lang w:val="en-GB"/>
        </w:rPr>
        <w:t xml:space="preserve">The </w:t>
      </w:r>
      <w:r w:rsidR="00CA0A60">
        <w:rPr>
          <w:szCs w:val="24"/>
          <w:lang w:val="en-GB"/>
        </w:rPr>
        <w:t>Contract</w:t>
      </w:r>
      <w:r w:rsidR="00B6720A">
        <w:rPr>
          <w:szCs w:val="24"/>
          <w:lang w:val="en-GB"/>
        </w:rPr>
        <w:t>ing authority</w:t>
      </w:r>
      <w:r>
        <w:rPr>
          <w:szCs w:val="24"/>
          <w:lang w:val="en-GB"/>
        </w:rPr>
        <w:t xml:space="preserve"> and the tenderer have the right to negotiate all the terms of the tender and/or the </w:t>
      </w:r>
      <w:r w:rsidR="00CA0A60">
        <w:rPr>
          <w:szCs w:val="24"/>
          <w:lang w:val="en-GB"/>
        </w:rPr>
        <w:t>contract</w:t>
      </w:r>
      <w:r>
        <w:rPr>
          <w:szCs w:val="24"/>
          <w:lang w:val="en-GB"/>
        </w:rPr>
        <w:t>, if necessary, except for the following points:</w:t>
      </w:r>
    </w:p>
    <w:p w14:paraId="366600F7" w14:textId="0AA86269" w:rsidR="00E1662E" w:rsidRPr="0077283E" w:rsidRDefault="00090D8D" w:rsidP="00E1662E">
      <w:pPr>
        <w:pStyle w:val="ListParagraph"/>
        <w:numPr>
          <w:ilvl w:val="2"/>
          <w:numId w:val="9"/>
        </w:numPr>
        <w:autoSpaceDE w:val="0"/>
        <w:autoSpaceDN w:val="0"/>
        <w:adjustRightInd w:val="0"/>
        <w:rPr>
          <w:szCs w:val="24"/>
        </w:rPr>
      </w:pPr>
      <w:r>
        <w:rPr>
          <w:szCs w:val="24"/>
          <w:lang w:val="en-GB"/>
        </w:rPr>
        <w:t xml:space="preserve">The </w:t>
      </w:r>
      <w:r w:rsidR="00CA0A60">
        <w:rPr>
          <w:szCs w:val="24"/>
          <w:lang w:val="en-GB"/>
        </w:rPr>
        <w:t>Contract</w:t>
      </w:r>
      <w:r>
        <w:rPr>
          <w:szCs w:val="24"/>
          <w:lang w:val="en-GB"/>
        </w:rPr>
        <w:t xml:space="preserve">or shall send to the </w:t>
      </w:r>
      <w:r w:rsidR="00CA0A60">
        <w:rPr>
          <w:szCs w:val="24"/>
          <w:lang w:val="en-GB"/>
        </w:rPr>
        <w:t>Contract</w:t>
      </w:r>
      <w:r w:rsidR="00B6720A">
        <w:rPr>
          <w:szCs w:val="24"/>
          <w:lang w:val="en-GB"/>
        </w:rPr>
        <w:t>ing authority</w:t>
      </w:r>
      <w:r>
        <w:rPr>
          <w:szCs w:val="24"/>
          <w:lang w:val="en-GB"/>
        </w:rPr>
        <w:t xml:space="preserve"> e-invoices in accordance with the Estonian e-invoic</w:t>
      </w:r>
      <w:r w:rsidR="00E839DF">
        <w:rPr>
          <w:szCs w:val="24"/>
          <w:lang w:val="en-GB"/>
        </w:rPr>
        <w:t>ing</w:t>
      </w:r>
      <w:r>
        <w:rPr>
          <w:szCs w:val="24"/>
          <w:lang w:val="en-GB"/>
        </w:rPr>
        <w:t xml:space="preserve"> standard</w:t>
      </w:r>
      <w:r w:rsidR="00CA0A51">
        <w:rPr>
          <w:szCs w:val="24"/>
          <w:lang w:val="en-GB"/>
        </w:rPr>
        <w:t>s</w:t>
      </w:r>
      <w:r>
        <w:rPr>
          <w:szCs w:val="24"/>
          <w:lang w:val="en-GB"/>
        </w:rPr>
        <w:t xml:space="preserve"> or, in the case of a foreign </w:t>
      </w:r>
      <w:r w:rsidR="00CA0A60">
        <w:rPr>
          <w:szCs w:val="24"/>
          <w:lang w:val="en-GB"/>
        </w:rPr>
        <w:t>Contract</w:t>
      </w:r>
      <w:r>
        <w:rPr>
          <w:szCs w:val="24"/>
          <w:lang w:val="en-GB"/>
        </w:rPr>
        <w:t xml:space="preserve">or, in </w:t>
      </w:r>
      <w:r w:rsidR="00CF6EBA">
        <w:rPr>
          <w:szCs w:val="24"/>
          <w:lang w:val="en-GB"/>
        </w:rPr>
        <w:t xml:space="preserve">a </w:t>
      </w:r>
      <w:r>
        <w:rPr>
          <w:szCs w:val="24"/>
          <w:lang w:val="en-GB"/>
        </w:rPr>
        <w:t xml:space="preserve">PDF format into the e-mail address </w:t>
      </w:r>
      <w:r w:rsidR="00E2459E">
        <w:rPr>
          <w:szCs w:val="24"/>
          <w:lang w:val="en-GB"/>
        </w:rPr>
        <w:t xml:space="preserve">at </w:t>
      </w:r>
      <w:r>
        <w:rPr>
          <w:szCs w:val="24"/>
          <w:lang w:val="en-GB"/>
        </w:rPr>
        <w:t xml:space="preserve">arved@smit.ee.  In addition to the data specified in the standard, the e-invoice must contain the surname of the contact person of the </w:t>
      </w:r>
      <w:r w:rsidR="00CA0A60">
        <w:rPr>
          <w:szCs w:val="24"/>
          <w:lang w:val="en-GB"/>
        </w:rPr>
        <w:t>Contract</w:t>
      </w:r>
      <w:r w:rsidR="00B6720A">
        <w:rPr>
          <w:szCs w:val="24"/>
          <w:lang w:val="en-GB"/>
        </w:rPr>
        <w:t>ing authority</w:t>
      </w:r>
      <w:r>
        <w:rPr>
          <w:szCs w:val="24"/>
          <w:lang w:val="en-GB"/>
        </w:rPr>
        <w:t xml:space="preserve"> and the public procurement reference number and the number of the </w:t>
      </w:r>
      <w:r w:rsidR="0086348A">
        <w:rPr>
          <w:szCs w:val="24"/>
          <w:lang w:val="en-GB"/>
        </w:rPr>
        <w:t xml:space="preserve">Framework </w:t>
      </w:r>
      <w:r w:rsidR="00CA0A60">
        <w:rPr>
          <w:szCs w:val="24"/>
          <w:lang w:val="en-GB"/>
        </w:rPr>
        <w:t>contract</w:t>
      </w:r>
      <w:r>
        <w:rPr>
          <w:szCs w:val="24"/>
          <w:lang w:val="en-GB"/>
        </w:rPr>
        <w:t xml:space="preserve">, order reference number and the number of the procurement </w:t>
      </w:r>
      <w:r w:rsidR="00CA0A60">
        <w:rPr>
          <w:szCs w:val="24"/>
          <w:lang w:val="en-GB"/>
        </w:rPr>
        <w:t>contract</w:t>
      </w:r>
      <w:r>
        <w:rPr>
          <w:szCs w:val="24"/>
          <w:lang w:val="en-GB"/>
        </w:rPr>
        <w:t xml:space="preserve"> and external funds project ID. The e-invoice must be sent via the e-invoicing solution of the operator and is deemed to have been received from the date of receipt of the recipient's e-invoicing system.</w:t>
      </w:r>
    </w:p>
    <w:p w14:paraId="023FE165" w14:textId="694B6238" w:rsidR="00E1662E" w:rsidRPr="0077283E" w:rsidRDefault="00090D8D" w:rsidP="00E1662E">
      <w:pPr>
        <w:pStyle w:val="ListParagraph"/>
        <w:numPr>
          <w:ilvl w:val="2"/>
          <w:numId w:val="9"/>
        </w:numPr>
        <w:autoSpaceDE w:val="0"/>
        <w:autoSpaceDN w:val="0"/>
        <w:adjustRightInd w:val="0"/>
        <w:rPr>
          <w:szCs w:val="24"/>
        </w:rPr>
      </w:pPr>
      <w:r>
        <w:rPr>
          <w:szCs w:val="24"/>
          <w:lang w:val="en-GB"/>
        </w:rPr>
        <w:t xml:space="preserve"> The payment term of the invoice is 21 calendar days, unless a different (longer or shorter) term is specified in the order and in the terms and conditions of the </w:t>
      </w:r>
      <w:r w:rsidR="00CA0A60">
        <w:rPr>
          <w:szCs w:val="24"/>
          <w:lang w:val="en-GB"/>
        </w:rPr>
        <w:t>Contract</w:t>
      </w:r>
      <w:r>
        <w:rPr>
          <w:szCs w:val="24"/>
          <w:lang w:val="en-GB"/>
        </w:rPr>
        <w:t>.</w:t>
      </w:r>
    </w:p>
    <w:p w14:paraId="67B6951D" w14:textId="77777777" w:rsidR="00E1662E" w:rsidRPr="0077283E" w:rsidRDefault="00E1662E" w:rsidP="00E1662E">
      <w:pPr>
        <w:pStyle w:val="ListParagraph"/>
        <w:numPr>
          <w:ilvl w:val="2"/>
          <w:numId w:val="9"/>
        </w:numPr>
        <w:autoSpaceDE w:val="0"/>
        <w:autoSpaceDN w:val="0"/>
        <w:adjustRightInd w:val="0"/>
        <w:rPr>
          <w:szCs w:val="24"/>
        </w:rPr>
      </w:pPr>
    </w:p>
    <w:p w14:paraId="628366EE" w14:textId="42F35402" w:rsidR="009035DB" w:rsidRPr="0077283E" w:rsidRDefault="00090D8D" w:rsidP="009035DB">
      <w:pPr>
        <w:pStyle w:val="ListParagraph"/>
        <w:numPr>
          <w:ilvl w:val="1"/>
          <w:numId w:val="9"/>
        </w:numPr>
        <w:autoSpaceDE w:val="0"/>
        <w:autoSpaceDN w:val="0"/>
        <w:adjustRightInd w:val="0"/>
        <w:rPr>
          <w:szCs w:val="24"/>
        </w:rPr>
      </w:pPr>
      <w:r>
        <w:rPr>
          <w:szCs w:val="24"/>
          <w:lang w:val="en-GB"/>
        </w:rPr>
        <w:lastRenderedPageBreak/>
        <w:t xml:space="preserve">If, after examining the tender, the </w:t>
      </w:r>
      <w:r w:rsidR="00D10B88">
        <w:rPr>
          <w:szCs w:val="24"/>
          <w:lang w:val="en-GB"/>
        </w:rPr>
        <w:t>C</w:t>
      </w:r>
      <w:r w:rsidR="00CA0A60">
        <w:rPr>
          <w:szCs w:val="24"/>
          <w:lang w:val="en-GB"/>
        </w:rPr>
        <w:t>ontract</w:t>
      </w:r>
      <w:r w:rsidR="00B6720A">
        <w:rPr>
          <w:szCs w:val="24"/>
          <w:lang w:val="en-GB"/>
        </w:rPr>
        <w:t>ing authority</w:t>
      </w:r>
      <w:r>
        <w:rPr>
          <w:szCs w:val="24"/>
          <w:lang w:val="en-GB"/>
        </w:rPr>
        <w:t xml:space="preserve"> </w:t>
      </w:r>
      <w:r w:rsidR="00F9033D">
        <w:rPr>
          <w:szCs w:val="24"/>
          <w:lang w:val="en-GB"/>
        </w:rPr>
        <w:t>discovers</w:t>
      </w:r>
      <w:r>
        <w:rPr>
          <w:szCs w:val="24"/>
          <w:lang w:val="en-GB"/>
        </w:rPr>
        <w:t xml:space="preserve"> that there are no open questions</w:t>
      </w:r>
      <w:r w:rsidR="00AC69D4">
        <w:rPr>
          <w:szCs w:val="24"/>
          <w:lang w:val="en-GB"/>
        </w:rPr>
        <w:t xml:space="preserve"> answered</w:t>
      </w:r>
      <w:r>
        <w:rPr>
          <w:szCs w:val="24"/>
          <w:lang w:val="en-GB"/>
        </w:rPr>
        <w:t xml:space="preserve">, the </w:t>
      </w:r>
      <w:r w:rsidR="00B01BE8">
        <w:rPr>
          <w:szCs w:val="24"/>
          <w:lang w:val="en-GB"/>
        </w:rPr>
        <w:t>C</w:t>
      </w:r>
      <w:r w:rsidR="00CA0A60">
        <w:rPr>
          <w:szCs w:val="24"/>
          <w:lang w:val="en-GB"/>
        </w:rPr>
        <w:t>ontract</w:t>
      </w:r>
      <w:r w:rsidR="00B6720A">
        <w:rPr>
          <w:szCs w:val="24"/>
          <w:lang w:val="en-GB"/>
        </w:rPr>
        <w:t>ing authority</w:t>
      </w:r>
      <w:r>
        <w:rPr>
          <w:szCs w:val="24"/>
          <w:lang w:val="en-GB"/>
        </w:rPr>
        <w:t xml:space="preserve"> shall not start negotiations.</w:t>
      </w:r>
    </w:p>
    <w:p w14:paraId="6610B0CB" w14:textId="39399C7E" w:rsidR="009035DB" w:rsidRDefault="00090D8D" w:rsidP="009035DB">
      <w:pPr>
        <w:pStyle w:val="ListParagraph"/>
        <w:numPr>
          <w:ilvl w:val="1"/>
          <w:numId w:val="9"/>
        </w:numPr>
        <w:autoSpaceDE w:val="0"/>
        <w:autoSpaceDN w:val="0"/>
        <w:adjustRightInd w:val="0"/>
        <w:rPr>
          <w:szCs w:val="24"/>
        </w:rPr>
      </w:pPr>
      <w:r>
        <w:rPr>
          <w:szCs w:val="24"/>
          <w:lang w:val="en-GB"/>
        </w:rPr>
        <w:t xml:space="preserve">Negotiations can take place either at the </w:t>
      </w:r>
      <w:r w:rsidR="006F24C9">
        <w:rPr>
          <w:szCs w:val="24"/>
          <w:lang w:val="en-GB"/>
        </w:rPr>
        <w:t>Contracting authority</w:t>
      </w:r>
      <w:r>
        <w:rPr>
          <w:szCs w:val="24"/>
          <w:lang w:val="en-GB"/>
        </w:rPr>
        <w:t xml:space="preserve">'s </w:t>
      </w:r>
      <w:r w:rsidR="00886CF4">
        <w:rPr>
          <w:szCs w:val="24"/>
          <w:lang w:val="en-GB"/>
        </w:rPr>
        <w:t>seat</w:t>
      </w:r>
      <w:r>
        <w:rPr>
          <w:szCs w:val="24"/>
          <w:lang w:val="en-GB"/>
        </w:rPr>
        <w:t xml:space="preserve"> or electronically (e</w:t>
      </w:r>
      <w:r w:rsidR="00634925">
        <w:rPr>
          <w:szCs w:val="24"/>
          <w:lang w:val="en-GB"/>
        </w:rPr>
        <w:t>-</w:t>
      </w:r>
      <w:r>
        <w:rPr>
          <w:szCs w:val="24"/>
          <w:lang w:val="en-GB"/>
        </w:rPr>
        <w:t xml:space="preserve">mail, Skype, e-procurement environment, etc.). Oral and electronic </w:t>
      </w:r>
      <w:r w:rsidR="002F5233">
        <w:rPr>
          <w:szCs w:val="24"/>
          <w:lang w:val="en-GB"/>
        </w:rPr>
        <w:t>negotiations</w:t>
      </w:r>
      <w:r>
        <w:rPr>
          <w:szCs w:val="24"/>
          <w:lang w:val="en-GB"/>
        </w:rPr>
        <w:t xml:space="preserve"> shall be recorded in the minutes. The </w:t>
      </w:r>
      <w:r w:rsidR="003B1443">
        <w:rPr>
          <w:szCs w:val="24"/>
          <w:lang w:val="en-GB"/>
        </w:rPr>
        <w:t>C</w:t>
      </w:r>
      <w:r w:rsidR="00CA0A60">
        <w:rPr>
          <w:szCs w:val="24"/>
          <w:lang w:val="en-GB"/>
        </w:rPr>
        <w:t>ontract</w:t>
      </w:r>
      <w:r w:rsidR="00B6720A">
        <w:rPr>
          <w:szCs w:val="24"/>
          <w:lang w:val="en-GB"/>
        </w:rPr>
        <w:t>ing authority</w:t>
      </w:r>
      <w:r>
        <w:rPr>
          <w:szCs w:val="24"/>
          <w:lang w:val="en-GB"/>
        </w:rPr>
        <w:t xml:space="preserve"> may ask the tenderer to adjust the tender.</w:t>
      </w:r>
    </w:p>
    <w:p w14:paraId="295B5103" w14:textId="566C763B" w:rsidR="009035DB" w:rsidRDefault="00090D8D" w:rsidP="009035DB">
      <w:pPr>
        <w:pStyle w:val="ListParagraph"/>
        <w:numPr>
          <w:ilvl w:val="1"/>
          <w:numId w:val="9"/>
        </w:numPr>
        <w:autoSpaceDE w:val="0"/>
        <w:autoSpaceDN w:val="0"/>
        <w:adjustRightInd w:val="0"/>
        <w:rPr>
          <w:szCs w:val="24"/>
        </w:rPr>
      </w:pPr>
      <w:r>
        <w:rPr>
          <w:szCs w:val="24"/>
          <w:lang w:val="en-GB"/>
        </w:rPr>
        <w:t xml:space="preserve">The </w:t>
      </w:r>
      <w:r w:rsidR="0086348A">
        <w:rPr>
          <w:szCs w:val="24"/>
          <w:lang w:val="en-GB"/>
        </w:rPr>
        <w:t xml:space="preserve">framework </w:t>
      </w:r>
      <w:r w:rsidR="00CA0A60">
        <w:rPr>
          <w:szCs w:val="24"/>
          <w:lang w:val="en-GB"/>
        </w:rPr>
        <w:t>contract</w:t>
      </w:r>
      <w:r>
        <w:rPr>
          <w:szCs w:val="24"/>
          <w:lang w:val="en-GB"/>
        </w:rPr>
        <w:t xml:space="preserve"> and the </w:t>
      </w:r>
      <w:r w:rsidR="00CA0A60">
        <w:rPr>
          <w:szCs w:val="24"/>
          <w:lang w:val="en-GB"/>
        </w:rPr>
        <w:t>contract</w:t>
      </w:r>
      <w:r>
        <w:rPr>
          <w:szCs w:val="24"/>
          <w:lang w:val="en-GB"/>
        </w:rPr>
        <w:t>s awarded on the basis thereof shall be concluded in English.</w:t>
      </w:r>
    </w:p>
    <w:p w14:paraId="2F3F9DD5" w14:textId="468C0390" w:rsidR="009035DB" w:rsidRDefault="00090D8D" w:rsidP="009035DB">
      <w:pPr>
        <w:pStyle w:val="ListParagraph"/>
        <w:numPr>
          <w:ilvl w:val="1"/>
          <w:numId w:val="9"/>
        </w:numPr>
        <w:autoSpaceDE w:val="0"/>
        <w:autoSpaceDN w:val="0"/>
        <w:adjustRightInd w:val="0"/>
        <w:rPr>
          <w:szCs w:val="24"/>
        </w:rPr>
      </w:pPr>
      <w:r>
        <w:rPr>
          <w:szCs w:val="24"/>
          <w:lang w:val="en-GB"/>
        </w:rPr>
        <w:t xml:space="preserve">The </w:t>
      </w:r>
      <w:r w:rsidR="008045EB">
        <w:rPr>
          <w:szCs w:val="24"/>
          <w:lang w:val="en-GB"/>
        </w:rPr>
        <w:t>C</w:t>
      </w:r>
      <w:r w:rsidR="00CA0A60">
        <w:rPr>
          <w:szCs w:val="24"/>
          <w:lang w:val="en-GB"/>
        </w:rPr>
        <w:t>ontract</w:t>
      </w:r>
      <w:r w:rsidR="00B6720A">
        <w:rPr>
          <w:szCs w:val="24"/>
          <w:lang w:val="en-GB"/>
        </w:rPr>
        <w:t>ing authority</w:t>
      </w:r>
      <w:r>
        <w:rPr>
          <w:szCs w:val="24"/>
          <w:lang w:val="en-GB"/>
        </w:rPr>
        <w:t xml:space="preserve"> shall forward to the tenderer who has submitted a successful tender a </w:t>
      </w:r>
      <w:r w:rsidR="0086348A">
        <w:rPr>
          <w:szCs w:val="24"/>
          <w:lang w:val="en-GB"/>
        </w:rPr>
        <w:t xml:space="preserve">framework </w:t>
      </w:r>
      <w:r w:rsidR="00CA0A60">
        <w:rPr>
          <w:szCs w:val="24"/>
          <w:lang w:val="en-GB"/>
        </w:rPr>
        <w:t>contract</w:t>
      </w:r>
      <w:r>
        <w:rPr>
          <w:szCs w:val="24"/>
          <w:lang w:val="en-GB"/>
        </w:rPr>
        <w:t xml:space="preserve"> for signing, the terms </w:t>
      </w:r>
      <w:r w:rsidR="00FA6F45">
        <w:rPr>
          <w:szCs w:val="24"/>
          <w:lang w:val="en-GB"/>
        </w:rPr>
        <w:t xml:space="preserve">and conditions </w:t>
      </w:r>
      <w:r w:rsidR="00525E9D">
        <w:rPr>
          <w:szCs w:val="24"/>
          <w:lang w:val="en-GB"/>
        </w:rPr>
        <w:t>of</w:t>
      </w:r>
      <w:r>
        <w:rPr>
          <w:szCs w:val="24"/>
          <w:lang w:val="en-GB"/>
        </w:rPr>
        <w:t xml:space="preserve"> which comply with the terms of the PEE and the successful tender and the terms </w:t>
      </w:r>
      <w:r w:rsidR="00A53DF6">
        <w:rPr>
          <w:szCs w:val="24"/>
          <w:lang w:val="en-GB"/>
        </w:rPr>
        <w:t xml:space="preserve">and conditions </w:t>
      </w:r>
      <w:r>
        <w:rPr>
          <w:szCs w:val="24"/>
          <w:lang w:val="en-GB"/>
        </w:rPr>
        <w:t>agreed during the negotiations (if they took place).</w:t>
      </w:r>
    </w:p>
    <w:p w14:paraId="3696C1A2" w14:textId="6FEE0FA5" w:rsidR="009035DB" w:rsidRDefault="00090D8D" w:rsidP="009035DB">
      <w:pPr>
        <w:pStyle w:val="ListParagraph"/>
        <w:numPr>
          <w:ilvl w:val="1"/>
          <w:numId w:val="9"/>
        </w:numPr>
        <w:autoSpaceDE w:val="0"/>
        <w:autoSpaceDN w:val="0"/>
        <w:adjustRightInd w:val="0"/>
        <w:rPr>
          <w:szCs w:val="24"/>
        </w:rPr>
      </w:pPr>
      <w:r>
        <w:rPr>
          <w:szCs w:val="24"/>
          <w:lang w:val="en-GB"/>
        </w:rPr>
        <w:t xml:space="preserve">The Framework </w:t>
      </w:r>
      <w:r w:rsidR="001D139A">
        <w:rPr>
          <w:szCs w:val="24"/>
          <w:lang w:val="en-GB"/>
        </w:rPr>
        <w:t>contract</w:t>
      </w:r>
      <w:r>
        <w:rPr>
          <w:szCs w:val="24"/>
          <w:lang w:val="en-GB"/>
        </w:rPr>
        <w:t xml:space="preserve"> shall enter into force upon its conclusion. The Framework </w:t>
      </w:r>
      <w:r w:rsidR="004E75B2">
        <w:rPr>
          <w:szCs w:val="24"/>
          <w:lang w:val="en-GB"/>
        </w:rPr>
        <w:t>contract</w:t>
      </w:r>
      <w:r>
        <w:rPr>
          <w:szCs w:val="24"/>
          <w:lang w:val="en-GB"/>
        </w:rPr>
        <w:t xml:space="preserve"> shall be deemed to have been concluded from the date of its late</w:t>
      </w:r>
      <w:r w:rsidR="00A06651">
        <w:rPr>
          <w:szCs w:val="24"/>
          <w:lang w:val="en-GB"/>
        </w:rPr>
        <w:t xml:space="preserve">st </w:t>
      </w:r>
      <w:r>
        <w:rPr>
          <w:szCs w:val="24"/>
          <w:lang w:val="en-GB"/>
        </w:rPr>
        <w:t xml:space="preserve">signature. </w:t>
      </w:r>
    </w:p>
    <w:p w14:paraId="508F21BE" w14:textId="5D54E803" w:rsidR="009035DB" w:rsidRPr="00AC24E4" w:rsidRDefault="00090D8D" w:rsidP="009035DB">
      <w:pPr>
        <w:pStyle w:val="ListParagraph"/>
        <w:numPr>
          <w:ilvl w:val="1"/>
          <w:numId w:val="9"/>
        </w:numPr>
        <w:autoSpaceDE w:val="0"/>
        <w:autoSpaceDN w:val="0"/>
        <w:adjustRightInd w:val="0"/>
        <w:rPr>
          <w:szCs w:val="24"/>
        </w:rPr>
      </w:pPr>
      <w:r>
        <w:rPr>
          <w:szCs w:val="24"/>
          <w:lang w:val="en-GB"/>
        </w:rPr>
        <w:t xml:space="preserve">The tenderer shall sign the public </w:t>
      </w:r>
      <w:r w:rsidR="00CA0A60">
        <w:rPr>
          <w:szCs w:val="24"/>
          <w:lang w:val="en-GB"/>
        </w:rPr>
        <w:t>contract</w:t>
      </w:r>
      <w:r>
        <w:rPr>
          <w:szCs w:val="24"/>
          <w:lang w:val="en-GB"/>
        </w:rPr>
        <w:t xml:space="preserve"> </w:t>
      </w:r>
      <w:r w:rsidR="00C03D2A">
        <w:rPr>
          <w:szCs w:val="24"/>
          <w:lang w:val="en-GB"/>
        </w:rPr>
        <w:t>submitted</w:t>
      </w:r>
      <w:r>
        <w:rPr>
          <w:szCs w:val="24"/>
          <w:lang w:val="en-GB"/>
        </w:rPr>
        <w:t xml:space="preserve"> to the tenderer for signature and return it to the </w:t>
      </w:r>
      <w:r w:rsidR="00E0056B">
        <w:rPr>
          <w:szCs w:val="24"/>
          <w:lang w:val="en-GB"/>
        </w:rPr>
        <w:t>C</w:t>
      </w:r>
      <w:r w:rsidR="00CA0A60">
        <w:rPr>
          <w:szCs w:val="24"/>
          <w:lang w:val="en-GB"/>
        </w:rPr>
        <w:t>ontract</w:t>
      </w:r>
      <w:r w:rsidR="00B6720A">
        <w:rPr>
          <w:szCs w:val="24"/>
          <w:lang w:val="en-GB"/>
        </w:rPr>
        <w:t>ing authority</w:t>
      </w:r>
      <w:r>
        <w:rPr>
          <w:szCs w:val="24"/>
          <w:lang w:val="en-GB"/>
        </w:rPr>
        <w:t xml:space="preserve"> within no later than five working days from the day the </w:t>
      </w:r>
      <w:r w:rsidR="006D7720">
        <w:rPr>
          <w:szCs w:val="24"/>
          <w:lang w:val="en-GB"/>
        </w:rPr>
        <w:t>C</w:t>
      </w:r>
      <w:r w:rsidR="00CA0A60">
        <w:rPr>
          <w:szCs w:val="24"/>
          <w:lang w:val="en-GB"/>
        </w:rPr>
        <w:t>ontract</w:t>
      </w:r>
      <w:r w:rsidR="00B6720A">
        <w:rPr>
          <w:szCs w:val="24"/>
          <w:lang w:val="en-GB"/>
        </w:rPr>
        <w:t>ing authority</w:t>
      </w:r>
      <w:r w:rsidR="003839A8">
        <w:rPr>
          <w:szCs w:val="24"/>
          <w:lang w:val="en-GB"/>
        </w:rPr>
        <w:t>’s</w:t>
      </w:r>
      <w:r>
        <w:rPr>
          <w:szCs w:val="24"/>
          <w:lang w:val="en-GB"/>
        </w:rPr>
        <w:t xml:space="preserve"> s</w:t>
      </w:r>
      <w:r w:rsidR="003839A8">
        <w:rPr>
          <w:szCs w:val="24"/>
          <w:lang w:val="en-GB"/>
        </w:rPr>
        <w:t>ubmission of</w:t>
      </w:r>
      <w:r>
        <w:rPr>
          <w:szCs w:val="24"/>
          <w:lang w:val="en-GB"/>
        </w:rPr>
        <w:t xml:space="preserve"> the </w:t>
      </w:r>
      <w:r w:rsidR="00CA0A60">
        <w:rPr>
          <w:szCs w:val="24"/>
          <w:lang w:val="en-GB"/>
        </w:rPr>
        <w:t>contract</w:t>
      </w:r>
      <w:r>
        <w:rPr>
          <w:szCs w:val="24"/>
          <w:lang w:val="en-GB"/>
        </w:rPr>
        <w:t xml:space="preserve"> to the tenderer.  The </w:t>
      </w:r>
      <w:r w:rsidR="00B11A8A">
        <w:rPr>
          <w:szCs w:val="24"/>
          <w:lang w:val="en-GB"/>
        </w:rPr>
        <w:t>C</w:t>
      </w:r>
      <w:r w:rsidR="00CA0A60">
        <w:rPr>
          <w:szCs w:val="24"/>
          <w:lang w:val="en-GB"/>
        </w:rPr>
        <w:t>ontract</w:t>
      </w:r>
      <w:r w:rsidR="00B6720A">
        <w:rPr>
          <w:szCs w:val="24"/>
          <w:lang w:val="en-GB"/>
        </w:rPr>
        <w:t>ing authority</w:t>
      </w:r>
      <w:r>
        <w:rPr>
          <w:szCs w:val="24"/>
          <w:lang w:val="en-GB"/>
        </w:rPr>
        <w:t xml:space="preserve"> may extend the term for signing the </w:t>
      </w:r>
      <w:r w:rsidR="00CA0A60">
        <w:rPr>
          <w:szCs w:val="24"/>
          <w:lang w:val="en-GB"/>
        </w:rPr>
        <w:t>contract</w:t>
      </w:r>
      <w:r>
        <w:rPr>
          <w:szCs w:val="24"/>
          <w:lang w:val="en-GB"/>
        </w:rPr>
        <w:t xml:space="preserve"> </w:t>
      </w:r>
      <w:r w:rsidR="00E4245B">
        <w:rPr>
          <w:szCs w:val="24"/>
          <w:lang w:val="en-GB"/>
        </w:rPr>
        <w:t>with</w:t>
      </w:r>
      <w:r>
        <w:rPr>
          <w:szCs w:val="24"/>
          <w:lang w:val="en-GB"/>
        </w:rPr>
        <w:t xml:space="preserve"> good reason, notifying the successful tenderer thereof in a format that can be reproduced in writing.  </w:t>
      </w:r>
    </w:p>
    <w:p w14:paraId="1E0E5137" w14:textId="77777777" w:rsidR="00E63F9E" w:rsidRDefault="00E63F9E">
      <w:pPr>
        <w:pStyle w:val="BodyText"/>
        <w:spacing w:before="120" w:after="0" w:line="240" w:lineRule="auto"/>
      </w:pPr>
    </w:p>
    <w:p w14:paraId="264E60A2" w14:textId="77777777" w:rsidR="00DB13E0" w:rsidRDefault="00DB13E0">
      <w:pPr>
        <w:pStyle w:val="BodyText"/>
        <w:spacing w:before="120" w:after="0" w:line="240" w:lineRule="auto"/>
      </w:pPr>
    </w:p>
    <w:tbl>
      <w:tblPr>
        <w:tblW w:w="9342" w:type="dxa"/>
        <w:jc w:val="righ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342"/>
      </w:tblGrid>
      <w:tr w:rsidR="00B13248" w14:paraId="059491C5" w14:textId="77777777" w:rsidTr="000653E6">
        <w:trPr>
          <w:cantSplit/>
          <w:trHeight w:val="276"/>
          <w:jc w:val="right"/>
        </w:trPr>
        <w:tc>
          <w:tcPr>
            <w:tcW w:w="9342" w:type="dxa"/>
          </w:tcPr>
          <w:p w14:paraId="27DDDC6D" w14:textId="77777777" w:rsidR="003B4276" w:rsidRDefault="00090D8D" w:rsidP="007E64A2">
            <w:pPr>
              <w:pStyle w:val="BodyText"/>
              <w:spacing w:after="0" w:line="240" w:lineRule="auto"/>
              <w:ind w:left="174"/>
              <w:jc w:val="left"/>
            </w:pPr>
            <w:r>
              <w:rPr>
                <w:szCs w:val="24"/>
                <w:lang w:val="en-GB"/>
              </w:rPr>
              <w:t>Sincerely yours,</w:t>
            </w:r>
          </w:p>
          <w:p w14:paraId="055E1692" w14:textId="77777777" w:rsidR="005C7525" w:rsidRDefault="005C7525" w:rsidP="007E64A2">
            <w:pPr>
              <w:pStyle w:val="BodyText"/>
              <w:spacing w:after="0" w:line="240" w:lineRule="auto"/>
              <w:ind w:left="174"/>
              <w:jc w:val="left"/>
              <w:rPr>
                <w:rFonts w:ascii="EE Times New Roman" w:hAnsi="EE Times New Roman"/>
              </w:rPr>
            </w:pPr>
          </w:p>
        </w:tc>
      </w:tr>
      <w:tr w:rsidR="00B13248" w14:paraId="565C1626" w14:textId="77777777" w:rsidTr="000653E6">
        <w:trPr>
          <w:cantSplit/>
          <w:trHeight w:val="735"/>
          <w:jc w:val="right"/>
        </w:trPr>
        <w:tc>
          <w:tcPr>
            <w:tcW w:w="9342" w:type="dxa"/>
          </w:tcPr>
          <w:p w14:paraId="2FA8E4EB" w14:textId="77777777" w:rsidR="003B4276" w:rsidRPr="005C7525" w:rsidRDefault="00090D8D" w:rsidP="007E64A2">
            <w:pPr>
              <w:pStyle w:val="BodyText"/>
              <w:spacing w:before="60" w:after="60" w:line="240" w:lineRule="auto"/>
              <w:ind w:left="174"/>
              <w:jc w:val="left"/>
              <w:rPr>
                <w:i/>
                <w:iCs/>
                <w:color w:val="808080"/>
              </w:rPr>
            </w:pPr>
            <w:r>
              <w:rPr>
                <w:i/>
                <w:iCs/>
                <w:color w:val="808080"/>
                <w:szCs w:val="24"/>
                <w:lang w:val="en-GB"/>
              </w:rPr>
              <w:t>(digitally signed)</w:t>
            </w:r>
          </w:p>
          <w:p w14:paraId="7D62E79B" w14:textId="77777777" w:rsidR="008669EA" w:rsidRPr="008A3D1B" w:rsidRDefault="008669EA" w:rsidP="0011260E">
            <w:pPr>
              <w:pStyle w:val="BodyText"/>
              <w:spacing w:before="60" w:after="60" w:line="240" w:lineRule="auto"/>
              <w:jc w:val="left"/>
              <w:rPr>
                <w:color w:val="808080"/>
              </w:rPr>
            </w:pPr>
          </w:p>
        </w:tc>
      </w:tr>
      <w:tr w:rsidR="00B13248" w14:paraId="693FABE2" w14:textId="77777777" w:rsidTr="000653E6">
        <w:trPr>
          <w:cantSplit/>
          <w:trHeight w:val="276"/>
          <w:jc w:val="right"/>
        </w:trPr>
        <w:tc>
          <w:tcPr>
            <w:tcW w:w="9342" w:type="dxa"/>
          </w:tcPr>
          <w:p w14:paraId="25CA9EED" w14:textId="77777777" w:rsidR="003B4276" w:rsidRDefault="00437580" w:rsidP="007E64A2">
            <w:pPr>
              <w:pStyle w:val="BodyText"/>
              <w:spacing w:after="0" w:line="240" w:lineRule="auto"/>
              <w:ind w:left="174"/>
              <w:jc w:val="left"/>
            </w:pPr>
            <w:r>
              <w:fldChar w:fldCharType="begin"/>
            </w:r>
            <w:r w:rsidR="00090D8D">
              <w:instrText xml:space="preserve"> delta_signerName  \* MERGEFORMAT</w:instrText>
            </w:r>
            <w:r>
              <w:fldChar w:fldCharType="separate"/>
            </w:r>
            <w:proofErr w:type="spellStart"/>
            <w:r w:rsidR="00090D8D">
              <w:rPr>
                <w:szCs w:val="24"/>
                <w:lang w:val="en-GB"/>
              </w:rPr>
              <w:t>Agne</w:t>
            </w:r>
            <w:proofErr w:type="spellEnd"/>
            <w:r w:rsidR="00090D8D">
              <w:rPr>
                <w:szCs w:val="24"/>
                <w:lang w:val="en-GB"/>
              </w:rPr>
              <w:t xml:space="preserve"> </w:t>
            </w:r>
            <w:proofErr w:type="spellStart"/>
            <w:r w:rsidR="00090D8D">
              <w:rPr>
                <w:szCs w:val="24"/>
                <w:lang w:val="en-GB"/>
              </w:rPr>
              <w:t>Aija</w:t>
            </w:r>
            <w:proofErr w:type="spellEnd"/>
            <w:r>
              <w:fldChar w:fldCharType="end"/>
            </w:r>
          </w:p>
        </w:tc>
      </w:tr>
      <w:tr w:rsidR="00B13248" w14:paraId="5B8AC830" w14:textId="77777777" w:rsidTr="000653E6">
        <w:trPr>
          <w:cantSplit/>
          <w:trHeight w:val="276"/>
          <w:jc w:val="right"/>
        </w:trPr>
        <w:tc>
          <w:tcPr>
            <w:tcW w:w="9342" w:type="dxa"/>
          </w:tcPr>
          <w:p w14:paraId="4AB1E95F" w14:textId="6DD399DC" w:rsidR="00D0735B" w:rsidRDefault="00437580" w:rsidP="007E64A2">
            <w:pPr>
              <w:pStyle w:val="BodyText"/>
              <w:spacing w:after="0" w:line="240" w:lineRule="auto"/>
              <w:ind w:left="316" w:hanging="174"/>
              <w:jc w:val="left"/>
              <w:rPr>
                <w:rFonts w:ascii="EE Times New Roman" w:hAnsi="EE Times New Roman"/>
              </w:rPr>
            </w:pPr>
            <w:r>
              <w:fldChar w:fldCharType="begin"/>
            </w:r>
            <w:r w:rsidR="00090D8D">
              <w:instrText xml:space="preserve"> delta_signerJobTitle  \* MERGEFORMAT</w:instrText>
            </w:r>
            <w:r>
              <w:fldChar w:fldCharType="separate"/>
            </w:r>
            <w:r w:rsidR="00090D8D">
              <w:rPr>
                <w:szCs w:val="24"/>
                <w:lang w:val="en-GB"/>
              </w:rPr>
              <w:t>Deputy Director-General for Support Services</w:t>
            </w:r>
            <w:r>
              <w:fldChar w:fldCharType="end"/>
            </w:r>
            <w:r w:rsidR="00090D8D">
              <w:rPr>
                <w:szCs w:val="24"/>
                <w:lang w:val="en-GB"/>
              </w:rPr>
              <w:t xml:space="preserve"> </w:t>
            </w:r>
          </w:p>
          <w:p w14:paraId="2652CD69" w14:textId="77777777" w:rsidR="000653E6" w:rsidRDefault="000653E6" w:rsidP="0011260E">
            <w:pPr>
              <w:pStyle w:val="BodyText"/>
              <w:spacing w:after="0" w:line="240" w:lineRule="auto"/>
              <w:jc w:val="left"/>
              <w:rPr>
                <w:rFonts w:ascii="EE Times New Roman" w:hAnsi="EE Times New Roman"/>
              </w:rPr>
            </w:pPr>
          </w:p>
          <w:p w14:paraId="519EFE33" w14:textId="77777777" w:rsidR="00E63F9E" w:rsidRDefault="00E63F9E" w:rsidP="0011260E">
            <w:pPr>
              <w:pStyle w:val="BodyText"/>
              <w:spacing w:after="0" w:line="240" w:lineRule="auto"/>
              <w:jc w:val="left"/>
              <w:rPr>
                <w:rFonts w:ascii="EE Times New Roman" w:hAnsi="EE Times New Roman"/>
              </w:rPr>
            </w:pPr>
          </w:p>
        </w:tc>
      </w:tr>
      <w:tr w:rsidR="00B13248" w14:paraId="78EB3919" w14:textId="77777777" w:rsidTr="000653E6">
        <w:trPr>
          <w:cantSplit/>
          <w:trHeight w:val="276"/>
          <w:jc w:val="right"/>
        </w:trPr>
        <w:tc>
          <w:tcPr>
            <w:tcW w:w="9342" w:type="dxa"/>
          </w:tcPr>
          <w:p w14:paraId="762EB539" w14:textId="77777777" w:rsidR="003D6C48" w:rsidRDefault="003D6C48" w:rsidP="0011260E">
            <w:pPr>
              <w:pStyle w:val="BodyText"/>
              <w:spacing w:after="0" w:line="240" w:lineRule="auto"/>
              <w:jc w:val="left"/>
            </w:pPr>
          </w:p>
        </w:tc>
      </w:tr>
    </w:tbl>
    <w:p w14:paraId="72FA7BC6" w14:textId="77777777" w:rsidR="008A3246" w:rsidRDefault="008A3246" w:rsidP="004D1EAE">
      <w:pPr>
        <w:pStyle w:val="BodyText"/>
        <w:tabs>
          <w:tab w:val="left" w:pos="1800"/>
        </w:tabs>
        <w:spacing w:after="0" w:line="240" w:lineRule="auto"/>
        <w:jc w:val="left"/>
      </w:pPr>
    </w:p>
    <w:p w14:paraId="0E6B5956" w14:textId="77777777" w:rsidR="008A3246" w:rsidRDefault="008A3246" w:rsidP="004D1EAE">
      <w:pPr>
        <w:pStyle w:val="BodyText"/>
        <w:tabs>
          <w:tab w:val="left" w:pos="1800"/>
        </w:tabs>
        <w:spacing w:after="0" w:line="240" w:lineRule="auto"/>
        <w:jc w:val="left"/>
      </w:pPr>
    </w:p>
    <w:p w14:paraId="474EFC34" w14:textId="77777777" w:rsidR="008A3246" w:rsidRDefault="008A3246" w:rsidP="004D1EAE">
      <w:pPr>
        <w:pStyle w:val="BodyText"/>
        <w:tabs>
          <w:tab w:val="left" w:pos="1800"/>
        </w:tabs>
        <w:spacing w:after="0" w:line="240" w:lineRule="auto"/>
        <w:jc w:val="left"/>
      </w:pPr>
    </w:p>
    <w:p w14:paraId="3C2E2711" w14:textId="77777777" w:rsidR="004D1EAE" w:rsidRDefault="00437580">
      <w:pPr>
        <w:pStyle w:val="BodyText"/>
        <w:tabs>
          <w:tab w:val="left" w:pos="1800"/>
        </w:tabs>
        <w:spacing w:after="0" w:line="240" w:lineRule="auto"/>
        <w:jc w:val="left"/>
      </w:pPr>
      <w:r>
        <w:fldChar w:fldCharType="begin"/>
      </w:r>
      <w:r w:rsidR="00090D8D">
        <w:instrText xml:space="preserve"> delta_ownerName  \* MERGEFORMAT</w:instrText>
      </w:r>
      <w:r>
        <w:fldChar w:fldCharType="separate"/>
      </w:r>
      <w:r w:rsidR="00090D8D">
        <w:rPr>
          <w:szCs w:val="24"/>
          <w:lang w:val="en-GB"/>
        </w:rPr>
        <w:t xml:space="preserve">Mattias </w:t>
      </w:r>
      <w:proofErr w:type="spellStart"/>
      <w:r w:rsidR="00090D8D">
        <w:rPr>
          <w:szCs w:val="24"/>
          <w:lang w:val="en-GB"/>
        </w:rPr>
        <w:t>Mikli</w:t>
      </w:r>
      <w:proofErr w:type="spellEnd"/>
      <w:r>
        <w:fldChar w:fldCharType="end"/>
      </w:r>
      <w:r w:rsidR="00090D8D">
        <w:rPr>
          <w:szCs w:val="24"/>
          <w:lang w:val="en-GB"/>
        </w:rPr>
        <w:t xml:space="preserve">, </w:t>
      </w:r>
      <w:r>
        <w:fldChar w:fldCharType="begin"/>
      </w:r>
      <w:r w:rsidR="00090D8D">
        <w:instrText xml:space="preserve"> delta_ownerEmail  \* MERGEFORMAT</w:instrText>
      </w:r>
      <w:r>
        <w:fldChar w:fldCharType="separate"/>
      </w:r>
      <w:r w:rsidR="00090D8D">
        <w:rPr>
          <w:szCs w:val="24"/>
          <w:lang w:val="en-GB"/>
        </w:rPr>
        <w:t>mattias.mikli@smit.ee</w:t>
      </w:r>
      <w:r>
        <w:fldChar w:fldCharType="end"/>
      </w:r>
    </w:p>
    <w:sectPr w:rsidR="004D1EAE" w:rsidSect="0011260E">
      <w:headerReference w:type="default" r:id="rId16"/>
      <w:type w:val="continuous"/>
      <w:pgSz w:w="11906" w:h="16838" w:code="9"/>
      <w:pgMar w:top="1417" w:right="1417" w:bottom="1417" w:left="1417" w:header="454"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4BA16" w14:textId="77777777" w:rsidR="003728AD" w:rsidRDefault="003728AD">
      <w:r>
        <w:separator/>
      </w:r>
    </w:p>
  </w:endnote>
  <w:endnote w:type="continuationSeparator" w:id="0">
    <w:p w14:paraId="7F55DCD5" w14:textId="77777777" w:rsidR="003728AD" w:rsidRDefault="0037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E Times New Roman">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73AF1" w14:textId="77777777" w:rsidR="005A223E" w:rsidRDefault="00090D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3728AD">
      <w:rPr>
        <w:rStyle w:val="PageNumber"/>
      </w:rPr>
      <w:fldChar w:fldCharType="separate"/>
    </w:r>
    <w:r>
      <w:rPr>
        <w:rStyle w:val="PageNumber"/>
      </w:rPr>
      <w:fldChar w:fldCharType="end"/>
    </w:r>
  </w:p>
  <w:p w14:paraId="309CFA1B" w14:textId="77777777" w:rsidR="005A223E" w:rsidRDefault="005A22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F5EB3" w14:textId="77777777" w:rsidR="00AE1F88" w:rsidRDefault="00AE1F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18" w:type="dxa"/>
      <w:tblInd w:w="-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2"/>
      <w:gridCol w:w="2268"/>
      <w:gridCol w:w="2268"/>
    </w:tblGrid>
    <w:tr w:rsidR="00B13248" w14:paraId="3D5FBAED" w14:textId="77777777" w:rsidTr="005860F7">
      <w:trPr>
        <w:trHeight w:val="87"/>
      </w:trPr>
      <w:tc>
        <w:tcPr>
          <w:tcW w:w="5382" w:type="dxa"/>
        </w:tcPr>
        <w:p w14:paraId="7F3513A6" w14:textId="48CA5357" w:rsidR="00B63F9D" w:rsidRPr="00107296" w:rsidRDefault="00090D8D" w:rsidP="00AE1F88">
          <w:pPr>
            <w:autoSpaceDE w:val="0"/>
            <w:autoSpaceDN w:val="0"/>
            <w:adjustRightInd w:val="0"/>
            <w:ind w:left="718"/>
            <w:rPr>
              <w:rFonts w:ascii="Times New Roman" w:hAnsi="Times New Roman" w:cs="Times New Roman"/>
              <w:color w:val="009CDE"/>
              <w:sz w:val="20"/>
              <w:szCs w:val="24"/>
            </w:rPr>
          </w:pPr>
          <w:r>
            <w:rPr>
              <w:rFonts w:ascii="Times New Roman" w:eastAsia="Times New Roman" w:hAnsi="Times New Roman" w:cs="Times New Roman"/>
              <w:color w:val="009CDE"/>
              <w:sz w:val="20"/>
              <w:szCs w:val="20"/>
              <w:lang w:val="en-GB"/>
            </w:rPr>
            <w:t xml:space="preserve">Information Technology and Development </w:t>
          </w:r>
          <w:r w:rsidR="00B6720A">
            <w:rPr>
              <w:rFonts w:ascii="Times New Roman" w:eastAsia="Times New Roman" w:hAnsi="Times New Roman" w:cs="Times New Roman"/>
              <w:color w:val="009CDE"/>
              <w:sz w:val="20"/>
              <w:szCs w:val="20"/>
              <w:lang w:val="en-GB"/>
            </w:rPr>
            <w:t>Centre</w:t>
          </w:r>
          <w:r>
            <w:rPr>
              <w:rFonts w:ascii="Times New Roman" w:eastAsia="Times New Roman" w:hAnsi="Times New Roman" w:cs="Times New Roman"/>
              <w:color w:val="009CDE"/>
              <w:sz w:val="20"/>
              <w:szCs w:val="20"/>
              <w:lang w:val="en-GB"/>
            </w:rPr>
            <w:t xml:space="preserve"> of the Ministry of the Interior</w:t>
          </w:r>
        </w:p>
        <w:p w14:paraId="323FC20A" w14:textId="77777777" w:rsidR="00B63F9D" w:rsidRPr="00107296" w:rsidRDefault="00090D8D" w:rsidP="00AE1F88">
          <w:pPr>
            <w:pStyle w:val="Footer"/>
            <w:ind w:left="718"/>
            <w:rPr>
              <w:rFonts w:ascii="Times New Roman" w:hAnsi="Times New Roman" w:cs="Times New Roman"/>
              <w:color w:val="009CDE"/>
              <w:sz w:val="20"/>
              <w:szCs w:val="24"/>
            </w:rPr>
          </w:pPr>
          <w:r>
            <w:rPr>
              <w:rFonts w:ascii="Times New Roman" w:eastAsia="Times New Roman" w:hAnsi="Times New Roman" w:cs="Times New Roman"/>
              <w:color w:val="009CDE"/>
              <w:sz w:val="20"/>
              <w:szCs w:val="20"/>
              <w:lang w:val="en-GB"/>
            </w:rPr>
            <w:t>Mäealuse 2/2, 12618 Tallinn</w:t>
          </w:r>
        </w:p>
      </w:tc>
      <w:tc>
        <w:tcPr>
          <w:tcW w:w="2268" w:type="dxa"/>
        </w:tcPr>
        <w:p w14:paraId="5303C17D" w14:textId="77777777" w:rsidR="00B63F9D" w:rsidRPr="00107296" w:rsidRDefault="00090D8D" w:rsidP="00B63F9D">
          <w:pPr>
            <w:autoSpaceDE w:val="0"/>
            <w:autoSpaceDN w:val="0"/>
            <w:adjustRightInd w:val="0"/>
            <w:rPr>
              <w:rFonts w:ascii="Times New Roman" w:hAnsi="Times New Roman" w:cs="Times New Roman"/>
              <w:color w:val="009CDE"/>
              <w:sz w:val="20"/>
              <w:szCs w:val="24"/>
            </w:rPr>
          </w:pPr>
          <w:r>
            <w:rPr>
              <w:rFonts w:ascii="Times New Roman" w:eastAsia="Times New Roman" w:hAnsi="Times New Roman" w:cs="Times New Roman"/>
              <w:color w:val="009CDE"/>
              <w:sz w:val="20"/>
              <w:szCs w:val="20"/>
              <w:lang w:val="en-GB"/>
            </w:rPr>
            <w:t>Telephone 612 6200</w:t>
          </w:r>
        </w:p>
        <w:p w14:paraId="5222B9AB" w14:textId="77777777" w:rsidR="00B63F9D" w:rsidRPr="00107296" w:rsidRDefault="00090D8D" w:rsidP="00B63F9D">
          <w:pPr>
            <w:pStyle w:val="Footer"/>
            <w:rPr>
              <w:rFonts w:ascii="Times New Roman" w:hAnsi="Times New Roman" w:cs="Times New Roman"/>
              <w:color w:val="009CDE"/>
              <w:sz w:val="20"/>
              <w:szCs w:val="24"/>
            </w:rPr>
          </w:pPr>
          <w:r>
            <w:rPr>
              <w:rFonts w:ascii="Times New Roman" w:eastAsia="Times New Roman" w:hAnsi="Times New Roman" w:cs="Times New Roman"/>
              <w:color w:val="009CDE"/>
              <w:sz w:val="20"/>
              <w:szCs w:val="20"/>
              <w:lang w:val="en-GB"/>
            </w:rPr>
            <w:t>E-mail: smit@smit.ee</w:t>
          </w:r>
        </w:p>
      </w:tc>
      <w:tc>
        <w:tcPr>
          <w:tcW w:w="2268" w:type="dxa"/>
        </w:tcPr>
        <w:p w14:paraId="1939A61F" w14:textId="77777777" w:rsidR="00B63F9D" w:rsidRPr="00107296" w:rsidRDefault="00090D8D" w:rsidP="00B63F9D">
          <w:pPr>
            <w:autoSpaceDE w:val="0"/>
            <w:autoSpaceDN w:val="0"/>
            <w:adjustRightInd w:val="0"/>
            <w:rPr>
              <w:rFonts w:ascii="Times New Roman" w:hAnsi="Times New Roman" w:cs="Times New Roman"/>
              <w:color w:val="009CDE"/>
              <w:sz w:val="20"/>
              <w:szCs w:val="24"/>
            </w:rPr>
          </w:pPr>
          <w:r>
            <w:rPr>
              <w:rFonts w:ascii="Times New Roman" w:eastAsia="Times New Roman" w:hAnsi="Times New Roman" w:cs="Times New Roman"/>
              <w:color w:val="009CDE"/>
              <w:sz w:val="20"/>
              <w:szCs w:val="20"/>
              <w:lang w:val="en-GB"/>
            </w:rPr>
            <w:t>Registry code 70008440</w:t>
          </w:r>
        </w:p>
        <w:p w14:paraId="53A6B44C" w14:textId="77777777" w:rsidR="00B63F9D" w:rsidRPr="00107296" w:rsidRDefault="00090D8D" w:rsidP="00B63F9D">
          <w:pPr>
            <w:pStyle w:val="Footer"/>
            <w:rPr>
              <w:rFonts w:ascii="Times New Roman" w:hAnsi="Times New Roman" w:cs="Times New Roman"/>
              <w:color w:val="009CDE"/>
              <w:sz w:val="20"/>
              <w:szCs w:val="24"/>
            </w:rPr>
          </w:pPr>
          <w:r>
            <w:rPr>
              <w:rFonts w:ascii="Times New Roman" w:eastAsia="Times New Roman" w:hAnsi="Times New Roman" w:cs="Times New Roman"/>
              <w:color w:val="009CDE"/>
              <w:sz w:val="20"/>
              <w:szCs w:val="20"/>
              <w:lang w:val="en-GB"/>
            </w:rPr>
            <w:t>www.smit.ee</w:t>
          </w:r>
        </w:p>
      </w:tc>
    </w:tr>
  </w:tbl>
  <w:p w14:paraId="1C92DE7B" w14:textId="77777777" w:rsidR="0011260E" w:rsidRPr="0011260E" w:rsidRDefault="00090D8D">
    <w:pPr>
      <w:pStyle w:val="Footer"/>
      <w:rPr>
        <w:sz w:val="20"/>
      </w:rPr>
    </w:pPr>
    <w:r>
      <w:rPr>
        <w:sz w:val="2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2D66B" w14:textId="77777777" w:rsidR="003728AD" w:rsidRDefault="003728AD">
      <w:r>
        <w:separator/>
      </w:r>
    </w:p>
  </w:footnote>
  <w:footnote w:type="continuationSeparator" w:id="0">
    <w:p w14:paraId="56025B05" w14:textId="77777777" w:rsidR="003728AD" w:rsidRDefault="0037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5D81A" w14:textId="77777777" w:rsidR="005A223E" w:rsidRDefault="00090D8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3728AD">
      <w:rPr>
        <w:rStyle w:val="PageNumber"/>
      </w:rPr>
      <w:fldChar w:fldCharType="separate"/>
    </w:r>
    <w:r>
      <w:rPr>
        <w:rStyle w:val="PageNumber"/>
      </w:rPr>
      <w:fldChar w:fldCharType="end"/>
    </w:r>
  </w:p>
  <w:p w14:paraId="32C0162B" w14:textId="77777777" w:rsidR="005A223E" w:rsidRDefault="005A22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50684" w14:textId="77777777" w:rsidR="005A223E" w:rsidRDefault="00090D8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8E4339">
      <w:rPr>
        <w:rStyle w:val="PageNumber"/>
        <w:noProof/>
      </w:rPr>
      <w:t>1</w:t>
    </w:r>
    <w:r>
      <w:rPr>
        <w:rStyle w:val="PageNumber"/>
      </w:rPr>
      <w:fldChar w:fldCharType="end"/>
    </w:r>
    <w:r>
      <w:rPr>
        <w:rStyle w:val="PageNumber"/>
      </w:rPr>
      <w:t>)</w:t>
    </w:r>
  </w:p>
  <w:p w14:paraId="4A87DE67" w14:textId="77777777" w:rsidR="005A223E" w:rsidRDefault="005A223E">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4960F" w14:textId="77777777" w:rsidR="00AE1F88" w:rsidRDefault="00AE1F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0BFCA" w14:textId="77777777" w:rsidR="005A223E" w:rsidRDefault="00090D8D">
    <w:pPr>
      <w:pStyle w:val="Header"/>
      <w:framePr w:wrap="notBesid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B13E0">
      <w:rPr>
        <w:rStyle w:val="PageNumber"/>
        <w:noProof/>
      </w:rPr>
      <w:t>4</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DB13E0">
      <w:rPr>
        <w:rStyle w:val="PageNumber"/>
        <w:noProof/>
      </w:rPr>
      <w:t>4</w:t>
    </w:r>
    <w:r>
      <w:rPr>
        <w:rStyle w:val="PageNumber"/>
      </w:rPr>
      <w:fldChar w:fldCharType="end"/>
    </w:r>
    <w:r>
      <w:rPr>
        <w:rStyle w:val="PageNumber"/>
      </w:rPr>
      <w:t>)</w:t>
    </w:r>
  </w:p>
  <w:p w14:paraId="32DA6C0B" w14:textId="77777777" w:rsidR="005A223E" w:rsidRDefault="005A223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021EB"/>
    <w:multiLevelType w:val="multilevel"/>
    <w:tmpl w:val="38766D9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1E74751F"/>
    <w:multiLevelType w:val="multilevel"/>
    <w:tmpl w:val="E848958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D2627E"/>
    <w:multiLevelType w:val="multilevel"/>
    <w:tmpl w:val="83E8FD52"/>
    <w:lvl w:ilvl="0">
      <w:start w:val="1"/>
      <w:numFmt w:val="decimal"/>
      <w:pStyle w:val="Loetelu"/>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3EC310CB"/>
    <w:multiLevelType w:val="hybridMultilevel"/>
    <w:tmpl w:val="8FA643FC"/>
    <w:lvl w:ilvl="0" w:tplc="FFB2E442">
      <w:start w:val="1"/>
      <w:numFmt w:val="decimal"/>
      <w:lvlText w:val="%1."/>
      <w:lvlJc w:val="left"/>
      <w:pPr>
        <w:ind w:left="720" w:hanging="360"/>
      </w:pPr>
      <w:rPr>
        <w:rFonts w:hint="default"/>
      </w:rPr>
    </w:lvl>
    <w:lvl w:ilvl="1" w:tplc="754670A8">
      <w:start w:val="1"/>
      <w:numFmt w:val="lowerLetter"/>
      <w:lvlText w:val="%2."/>
      <w:lvlJc w:val="left"/>
      <w:pPr>
        <w:ind w:left="1440" w:hanging="360"/>
      </w:pPr>
    </w:lvl>
    <w:lvl w:ilvl="2" w:tplc="59105316" w:tentative="1">
      <w:start w:val="1"/>
      <w:numFmt w:val="lowerRoman"/>
      <w:lvlText w:val="%3."/>
      <w:lvlJc w:val="right"/>
      <w:pPr>
        <w:ind w:left="2160" w:hanging="180"/>
      </w:pPr>
    </w:lvl>
    <w:lvl w:ilvl="3" w:tplc="00F615B4" w:tentative="1">
      <w:start w:val="1"/>
      <w:numFmt w:val="decimal"/>
      <w:lvlText w:val="%4."/>
      <w:lvlJc w:val="left"/>
      <w:pPr>
        <w:ind w:left="2880" w:hanging="360"/>
      </w:pPr>
    </w:lvl>
    <w:lvl w:ilvl="4" w:tplc="DD64FCEA" w:tentative="1">
      <w:start w:val="1"/>
      <w:numFmt w:val="lowerLetter"/>
      <w:lvlText w:val="%5."/>
      <w:lvlJc w:val="left"/>
      <w:pPr>
        <w:ind w:left="3600" w:hanging="360"/>
      </w:pPr>
    </w:lvl>
    <w:lvl w:ilvl="5" w:tplc="597C6D5E" w:tentative="1">
      <w:start w:val="1"/>
      <w:numFmt w:val="lowerRoman"/>
      <w:lvlText w:val="%6."/>
      <w:lvlJc w:val="right"/>
      <w:pPr>
        <w:ind w:left="4320" w:hanging="180"/>
      </w:pPr>
    </w:lvl>
    <w:lvl w:ilvl="6" w:tplc="0C1E243E" w:tentative="1">
      <w:start w:val="1"/>
      <w:numFmt w:val="decimal"/>
      <w:lvlText w:val="%7."/>
      <w:lvlJc w:val="left"/>
      <w:pPr>
        <w:ind w:left="5040" w:hanging="360"/>
      </w:pPr>
    </w:lvl>
    <w:lvl w:ilvl="7" w:tplc="A622F042" w:tentative="1">
      <w:start w:val="1"/>
      <w:numFmt w:val="lowerLetter"/>
      <w:lvlText w:val="%8."/>
      <w:lvlJc w:val="left"/>
      <w:pPr>
        <w:ind w:left="5760" w:hanging="360"/>
      </w:pPr>
    </w:lvl>
    <w:lvl w:ilvl="8" w:tplc="B540EA6A" w:tentative="1">
      <w:start w:val="1"/>
      <w:numFmt w:val="lowerRoman"/>
      <w:lvlText w:val="%9."/>
      <w:lvlJc w:val="right"/>
      <w:pPr>
        <w:ind w:left="6480" w:hanging="180"/>
      </w:pPr>
    </w:lvl>
  </w:abstractNum>
  <w:abstractNum w:abstractNumId="4" w15:restartNumberingAfterBreak="0">
    <w:nsid w:val="532D1FE9"/>
    <w:multiLevelType w:val="multilevel"/>
    <w:tmpl w:val="D9BA67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D605A1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2C42B04"/>
    <w:multiLevelType w:val="multilevel"/>
    <w:tmpl w:val="0A1AD046"/>
    <w:lvl w:ilvl="0">
      <w:start w:val="1"/>
      <w:numFmt w:val="decimal"/>
      <w:pStyle w:val="Laad1"/>
      <w:lvlText w:val="%1."/>
      <w:lvlJc w:val="left"/>
      <w:pPr>
        <w:ind w:left="360" w:hanging="360"/>
      </w:pPr>
      <w:rPr>
        <w:b/>
        <w:bCs/>
      </w:rPr>
    </w:lvl>
    <w:lvl w:ilvl="1">
      <w:start w:val="1"/>
      <w:numFmt w:val="decimal"/>
      <w:pStyle w:val="Laad2"/>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001177"/>
    <w:multiLevelType w:val="multilevel"/>
    <w:tmpl w:val="64E4EA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776A7C5C"/>
    <w:multiLevelType w:val="multilevel"/>
    <w:tmpl w:val="8EBC68A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946305097">
    <w:abstractNumId w:val="7"/>
  </w:num>
  <w:num w:numId="2" w16cid:durableId="39673247">
    <w:abstractNumId w:val="8"/>
  </w:num>
  <w:num w:numId="3" w16cid:durableId="865800487">
    <w:abstractNumId w:val="0"/>
  </w:num>
  <w:num w:numId="4" w16cid:durableId="2113622571">
    <w:abstractNumId w:val="2"/>
  </w:num>
  <w:num w:numId="5" w16cid:durableId="1678072066">
    <w:abstractNumId w:val="6"/>
  </w:num>
  <w:num w:numId="6" w16cid:durableId="365494806">
    <w:abstractNumId w:val="3"/>
  </w:num>
  <w:num w:numId="7" w16cid:durableId="1648240101">
    <w:abstractNumId w:val="1"/>
  </w:num>
  <w:num w:numId="8" w16cid:durableId="1724283948">
    <w:abstractNumId w:val="4"/>
  </w:num>
  <w:num w:numId="9" w16cid:durableId="2464277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3"/>
  <w:drawingGridVerticalSpacing w:val="113"/>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146"/>
    <w:rsid w:val="000044BA"/>
    <w:rsid w:val="00016156"/>
    <w:rsid w:val="00025B23"/>
    <w:rsid w:val="00030432"/>
    <w:rsid w:val="00043140"/>
    <w:rsid w:val="00045774"/>
    <w:rsid w:val="00060108"/>
    <w:rsid w:val="00063DAE"/>
    <w:rsid w:val="00064E8C"/>
    <w:rsid w:val="000653E6"/>
    <w:rsid w:val="00066762"/>
    <w:rsid w:val="000676C0"/>
    <w:rsid w:val="00073180"/>
    <w:rsid w:val="00077011"/>
    <w:rsid w:val="00080A46"/>
    <w:rsid w:val="00090D8D"/>
    <w:rsid w:val="00091900"/>
    <w:rsid w:val="0009562E"/>
    <w:rsid w:val="000A0487"/>
    <w:rsid w:val="000B48DB"/>
    <w:rsid w:val="000B5E01"/>
    <w:rsid w:val="000B5E2D"/>
    <w:rsid w:val="000D008B"/>
    <w:rsid w:val="000D2A12"/>
    <w:rsid w:val="000D5FCD"/>
    <w:rsid w:val="000F5313"/>
    <w:rsid w:val="00107296"/>
    <w:rsid w:val="0011260E"/>
    <w:rsid w:val="00123487"/>
    <w:rsid w:val="00127FE3"/>
    <w:rsid w:val="00152E9D"/>
    <w:rsid w:val="00153B9E"/>
    <w:rsid w:val="001544C1"/>
    <w:rsid w:val="00175B9F"/>
    <w:rsid w:val="00176362"/>
    <w:rsid w:val="00176881"/>
    <w:rsid w:val="001A1A1D"/>
    <w:rsid w:val="001A1ADD"/>
    <w:rsid w:val="001B3A06"/>
    <w:rsid w:val="001C0536"/>
    <w:rsid w:val="001C3006"/>
    <w:rsid w:val="001D0499"/>
    <w:rsid w:val="001D139A"/>
    <w:rsid w:val="001D6C8A"/>
    <w:rsid w:val="001E436F"/>
    <w:rsid w:val="001F230F"/>
    <w:rsid w:val="00203A2A"/>
    <w:rsid w:val="002336FE"/>
    <w:rsid w:val="0027738A"/>
    <w:rsid w:val="002955D4"/>
    <w:rsid w:val="002B64E8"/>
    <w:rsid w:val="002C06A4"/>
    <w:rsid w:val="002D571C"/>
    <w:rsid w:val="002E7BEB"/>
    <w:rsid w:val="002F4AD7"/>
    <w:rsid w:val="002F5233"/>
    <w:rsid w:val="00305DE1"/>
    <w:rsid w:val="00307A59"/>
    <w:rsid w:val="00310A2B"/>
    <w:rsid w:val="00313146"/>
    <w:rsid w:val="0032377C"/>
    <w:rsid w:val="00323C2B"/>
    <w:rsid w:val="00324077"/>
    <w:rsid w:val="003522CD"/>
    <w:rsid w:val="00353BD2"/>
    <w:rsid w:val="00361E11"/>
    <w:rsid w:val="00364627"/>
    <w:rsid w:val="003728AD"/>
    <w:rsid w:val="003779EF"/>
    <w:rsid w:val="0038251B"/>
    <w:rsid w:val="003839A8"/>
    <w:rsid w:val="0039759B"/>
    <w:rsid w:val="003B1443"/>
    <w:rsid w:val="003B4276"/>
    <w:rsid w:val="003D4139"/>
    <w:rsid w:val="003D553E"/>
    <w:rsid w:val="003D6C48"/>
    <w:rsid w:val="003E4624"/>
    <w:rsid w:val="003E54F4"/>
    <w:rsid w:val="003F2C28"/>
    <w:rsid w:val="0040407C"/>
    <w:rsid w:val="00415A3B"/>
    <w:rsid w:val="00424D5E"/>
    <w:rsid w:val="00437580"/>
    <w:rsid w:val="004375C0"/>
    <w:rsid w:val="00443716"/>
    <w:rsid w:val="004608DC"/>
    <w:rsid w:val="00464375"/>
    <w:rsid w:val="00482377"/>
    <w:rsid w:val="004833C8"/>
    <w:rsid w:val="00487B95"/>
    <w:rsid w:val="00490037"/>
    <w:rsid w:val="004A7A55"/>
    <w:rsid w:val="004C053E"/>
    <w:rsid w:val="004C34CB"/>
    <w:rsid w:val="004C42A5"/>
    <w:rsid w:val="004D1EAE"/>
    <w:rsid w:val="004D57FC"/>
    <w:rsid w:val="004E1EAB"/>
    <w:rsid w:val="004E3E49"/>
    <w:rsid w:val="004E75B2"/>
    <w:rsid w:val="004F0CE9"/>
    <w:rsid w:val="004F76CC"/>
    <w:rsid w:val="004F7D1B"/>
    <w:rsid w:val="00506A6C"/>
    <w:rsid w:val="00507802"/>
    <w:rsid w:val="00525E9D"/>
    <w:rsid w:val="00543B95"/>
    <w:rsid w:val="00545AD8"/>
    <w:rsid w:val="00570B8B"/>
    <w:rsid w:val="005776F1"/>
    <w:rsid w:val="005A223E"/>
    <w:rsid w:val="005A7925"/>
    <w:rsid w:val="005B52F9"/>
    <w:rsid w:val="005C7525"/>
    <w:rsid w:val="005F245C"/>
    <w:rsid w:val="005F4A9B"/>
    <w:rsid w:val="005F6BC2"/>
    <w:rsid w:val="0060454D"/>
    <w:rsid w:val="00616F05"/>
    <w:rsid w:val="0061789C"/>
    <w:rsid w:val="0063215E"/>
    <w:rsid w:val="00634925"/>
    <w:rsid w:val="006400A3"/>
    <w:rsid w:val="00660940"/>
    <w:rsid w:val="006633AE"/>
    <w:rsid w:val="00674570"/>
    <w:rsid w:val="00677DBA"/>
    <w:rsid w:val="00680610"/>
    <w:rsid w:val="006848B6"/>
    <w:rsid w:val="0069065D"/>
    <w:rsid w:val="00691A61"/>
    <w:rsid w:val="006B14E5"/>
    <w:rsid w:val="006C3DDD"/>
    <w:rsid w:val="006C4130"/>
    <w:rsid w:val="006D1E3A"/>
    <w:rsid w:val="006D7720"/>
    <w:rsid w:val="006E69E0"/>
    <w:rsid w:val="006F1A06"/>
    <w:rsid w:val="006F24C9"/>
    <w:rsid w:val="006F3642"/>
    <w:rsid w:val="00710968"/>
    <w:rsid w:val="00711914"/>
    <w:rsid w:val="00722FAF"/>
    <w:rsid w:val="007240D9"/>
    <w:rsid w:val="0073735D"/>
    <w:rsid w:val="007402D2"/>
    <w:rsid w:val="00743E43"/>
    <w:rsid w:val="0077283E"/>
    <w:rsid w:val="00777A32"/>
    <w:rsid w:val="00792ECB"/>
    <w:rsid w:val="007A6C6F"/>
    <w:rsid w:val="007B7ACA"/>
    <w:rsid w:val="007D3445"/>
    <w:rsid w:val="007E319C"/>
    <w:rsid w:val="007E64A2"/>
    <w:rsid w:val="007E7FE6"/>
    <w:rsid w:val="007F68D7"/>
    <w:rsid w:val="00801BB5"/>
    <w:rsid w:val="008045EB"/>
    <w:rsid w:val="00822F09"/>
    <w:rsid w:val="00830CA2"/>
    <w:rsid w:val="008415DC"/>
    <w:rsid w:val="00843B2E"/>
    <w:rsid w:val="00854DA9"/>
    <w:rsid w:val="00857748"/>
    <w:rsid w:val="008606C5"/>
    <w:rsid w:val="0086348A"/>
    <w:rsid w:val="00865017"/>
    <w:rsid w:val="008669EA"/>
    <w:rsid w:val="0087558C"/>
    <w:rsid w:val="008811F1"/>
    <w:rsid w:val="00886CF4"/>
    <w:rsid w:val="00895350"/>
    <w:rsid w:val="00896B07"/>
    <w:rsid w:val="008A02BC"/>
    <w:rsid w:val="008A3246"/>
    <w:rsid w:val="008A3B3F"/>
    <w:rsid w:val="008A3D1B"/>
    <w:rsid w:val="008A4C3C"/>
    <w:rsid w:val="008A7216"/>
    <w:rsid w:val="008D720F"/>
    <w:rsid w:val="008E4339"/>
    <w:rsid w:val="009035DB"/>
    <w:rsid w:val="00910004"/>
    <w:rsid w:val="00910DD1"/>
    <w:rsid w:val="00912D8A"/>
    <w:rsid w:val="009225A0"/>
    <w:rsid w:val="009322FD"/>
    <w:rsid w:val="0093578C"/>
    <w:rsid w:val="009459D9"/>
    <w:rsid w:val="00957CDD"/>
    <w:rsid w:val="00967FA8"/>
    <w:rsid w:val="00993C51"/>
    <w:rsid w:val="009A2CB8"/>
    <w:rsid w:val="009A2EEE"/>
    <w:rsid w:val="009A4E2A"/>
    <w:rsid w:val="009A7F3E"/>
    <w:rsid w:val="009B1845"/>
    <w:rsid w:val="009C2D6A"/>
    <w:rsid w:val="009F20D3"/>
    <w:rsid w:val="009F3D79"/>
    <w:rsid w:val="00A06651"/>
    <w:rsid w:val="00A13D30"/>
    <w:rsid w:val="00A23DA4"/>
    <w:rsid w:val="00A53DF6"/>
    <w:rsid w:val="00A81588"/>
    <w:rsid w:val="00A83A2D"/>
    <w:rsid w:val="00A86AC7"/>
    <w:rsid w:val="00A91B31"/>
    <w:rsid w:val="00AB1415"/>
    <w:rsid w:val="00AB6652"/>
    <w:rsid w:val="00AC24E4"/>
    <w:rsid w:val="00AC69D4"/>
    <w:rsid w:val="00AD00F5"/>
    <w:rsid w:val="00AD191E"/>
    <w:rsid w:val="00AD535F"/>
    <w:rsid w:val="00AE1D5F"/>
    <w:rsid w:val="00AE1F88"/>
    <w:rsid w:val="00B01BE8"/>
    <w:rsid w:val="00B04373"/>
    <w:rsid w:val="00B115BD"/>
    <w:rsid w:val="00B11A8A"/>
    <w:rsid w:val="00B13248"/>
    <w:rsid w:val="00B24CA2"/>
    <w:rsid w:val="00B344C4"/>
    <w:rsid w:val="00B50FB5"/>
    <w:rsid w:val="00B52B4A"/>
    <w:rsid w:val="00B618E6"/>
    <w:rsid w:val="00B6218E"/>
    <w:rsid w:val="00B63F9D"/>
    <w:rsid w:val="00B6720A"/>
    <w:rsid w:val="00B75B37"/>
    <w:rsid w:val="00B76DFE"/>
    <w:rsid w:val="00B928AA"/>
    <w:rsid w:val="00BA580E"/>
    <w:rsid w:val="00BC7FE6"/>
    <w:rsid w:val="00BD09A9"/>
    <w:rsid w:val="00BD1538"/>
    <w:rsid w:val="00C03D2A"/>
    <w:rsid w:val="00C04B75"/>
    <w:rsid w:val="00C04DF7"/>
    <w:rsid w:val="00C132AE"/>
    <w:rsid w:val="00C23514"/>
    <w:rsid w:val="00C3156F"/>
    <w:rsid w:val="00C41723"/>
    <w:rsid w:val="00C4390F"/>
    <w:rsid w:val="00C6785A"/>
    <w:rsid w:val="00C71BE0"/>
    <w:rsid w:val="00C81A7F"/>
    <w:rsid w:val="00CA0A51"/>
    <w:rsid w:val="00CA0A60"/>
    <w:rsid w:val="00CA44B5"/>
    <w:rsid w:val="00CB044C"/>
    <w:rsid w:val="00CB2DFB"/>
    <w:rsid w:val="00CB6230"/>
    <w:rsid w:val="00CC48EC"/>
    <w:rsid w:val="00CD49CB"/>
    <w:rsid w:val="00CF6EBA"/>
    <w:rsid w:val="00D02782"/>
    <w:rsid w:val="00D04D02"/>
    <w:rsid w:val="00D0735B"/>
    <w:rsid w:val="00D10B88"/>
    <w:rsid w:val="00D161FE"/>
    <w:rsid w:val="00D26B00"/>
    <w:rsid w:val="00D32526"/>
    <w:rsid w:val="00D45C60"/>
    <w:rsid w:val="00D56DE7"/>
    <w:rsid w:val="00D57137"/>
    <w:rsid w:val="00D7453F"/>
    <w:rsid w:val="00D77A20"/>
    <w:rsid w:val="00D840B4"/>
    <w:rsid w:val="00DB13E0"/>
    <w:rsid w:val="00DC4E6C"/>
    <w:rsid w:val="00DC5219"/>
    <w:rsid w:val="00DC739D"/>
    <w:rsid w:val="00DE25DF"/>
    <w:rsid w:val="00DE283C"/>
    <w:rsid w:val="00E0056B"/>
    <w:rsid w:val="00E13C5D"/>
    <w:rsid w:val="00E1662E"/>
    <w:rsid w:val="00E2459E"/>
    <w:rsid w:val="00E27EA6"/>
    <w:rsid w:val="00E31D8C"/>
    <w:rsid w:val="00E4245B"/>
    <w:rsid w:val="00E469CD"/>
    <w:rsid w:val="00E50DF9"/>
    <w:rsid w:val="00E56BB2"/>
    <w:rsid w:val="00E62DE0"/>
    <w:rsid w:val="00E63F9E"/>
    <w:rsid w:val="00E648E3"/>
    <w:rsid w:val="00E839DF"/>
    <w:rsid w:val="00E84820"/>
    <w:rsid w:val="00EA6948"/>
    <w:rsid w:val="00EC780F"/>
    <w:rsid w:val="00ED3814"/>
    <w:rsid w:val="00EE7ECF"/>
    <w:rsid w:val="00EF01FF"/>
    <w:rsid w:val="00EF7493"/>
    <w:rsid w:val="00F43C64"/>
    <w:rsid w:val="00F5588A"/>
    <w:rsid w:val="00F563D0"/>
    <w:rsid w:val="00F56AEE"/>
    <w:rsid w:val="00F6398A"/>
    <w:rsid w:val="00F65093"/>
    <w:rsid w:val="00F74355"/>
    <w:rsid w:val="00F9033D"/>
    <w:rsid w:val="00F91A65"/>
    <w:rsid w:val="00F953A8"/>
    <w:rsid w:val="00FA567E"/>
    <w:rsid w:val="00FA6F45"/>
    <w:rsid w:val="00FB429E"/>
    <w:rsid w:val="00FB4F12"/>
    <w:rsid w:val="00FB513B"/>
    <w:rsid w:val="00FB7B7C"/>
    <w:rsid w:val="00FF39E2"/>
    <w:rsid w:val="00FF73D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C4947A"/>
  <w15:docId w15:val="{633F2010-59B4-4DC1-88D6-8C9716652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22CD"/>
    <w:pPr>
      <w:jc w:val="both"/>
    </w:pPr>
    <w:rPr>
      <w:sz w:val="24"/>
      <w:lang w:eastAsia="en-US"/>
    </w:rPr>
  </w:style>
  <w:style w:type="paragraph" w:styleId="Heading1">
    <w:name w:val="heading 1"/>
    <w:basedOn w:val="Normal"/>
    <w:next w:val="Normal"/>
    <w:qFormat/>
    <w:rsid w:val="003522C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3522CD"/>
    <w:pPr>
      <w:keepNext/>
      <w:numPr>
        <w:ilvl w:val="1"/>
        <w:numId w:val="2"/>
      </w:numPr>
      <w:spacing w:before="240" w:after="60"/>
      <w:outlineLvl w:val="1"/>
    </w:pPr>
    <w:rPr>
      <w:rFonts w:ascii="Arial" w:hAnsi="Arial"/>
      <w:b/>
      <w:i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522CD"/>
    <w:pPr>
      <w:tabs>
        <w:tab w:val="center" w:pos="4153"/>
        <w:tab w:val="right" w:pos="8306"/>
      </w:tabs>
    </w:pPr>
  </w:style>
  <w:style w:type="paragraph" w:styleId="Footer">
    <w:name w:val="footer"/>
    <w:basedOn w:val="Normal"/>
    <w:link w:val="FooterChar"/>
    <w:uiPriority w:val="99"/>
    <w:rsid w:val="003522CD"/>
    <w:pPr>
      <w:tabs>
        <w:tab w:val="center" w:pos="4153"/>
        <w:tab w:val="right" w:pos="8306"/>
      </w:tabs>
    </w:pPr>
  </w:style>
  <w:style w:type="paragraph" w:styleId="BodyText">
    <w:name w:val="Body Text"/>
    <w:basedOn w:val="Normal"/>
    <w:rsid w:val="003522CD"/>
    <w:pPr>
      <w:spacing w:after="220" w:line="220" w:lineRule="atLeast"/>
    </w:pPr>
    <w:rPr>
      <w:spacing w:val="-5"/>
    </w:rPr>
  </w:style>
  <w:style w:type="character" w:styleId="PageNumber">
    <w:name w:val="page number"/>
    <w:basedOn w:val="DefaultParagraphFont"/>
    <w:rsid w:val="003522CD"/>
  </w:style>
  <w:style w:type="paragraph" w:customStyle="1" w:styleId="Loetelu">
    <w:name w:val="Loetelu"/>
    <w:basedOn w:val="BodyText"/>
    <w:rsid w:val="003522CD"/>
    <w:pPr>
      <w:numPr>
        <w:numId w:val="4"/>
      </w:numPr>
      <w:spacing w:before="120" w:after="0" w:line="240" w:lineRule="auto"/>
    </w:pPr>
    <w:rPr>
      <w:spacing w:val="0"/>
    </w:rPr>
  </w:style>
  <w:style w:type="paragraph" w:customStyle="1" w:styleId="kastitekst">
    <w:name w:val="kastitekst"/>
    <w:basedOn w:val="Normal"/>
    <w:rsid w:val="00DE283C"/>
    <w:pPr>
      <w:jc w:val="right"/>
    </w:pPr>
    <w:rPr>
      <w:sz w:val="22"/>
      <w:szCs w:val="22"/>
    </w:rPr>
  </w:style>
  <w:style w:type="character" w:styleId="Hyperlink">
    <w:name w:val="Hyperlink"/>
    <w:rsid w:val="003522CD"/>
    <w:rPr>
      <w:color w:val="0000FF"/>
      <w:u w:val="single"/>
    </w:rPr>
  </w:style>
  <w:style w:type="character" w:customStyle="1" w:styleId="FooterChar">
    <w:name w:val="Footer Char"/>
    <w:basedOn w:val="DefaultParagraphFont"/>
    <w:link w:val="Footer"/>
    <w:uiPriority w:val="99"/>
    <w:rsid w:val="00B63F9D"/>
    <w:rPr>
      <w:sz w:val="24"/>
      <w:lang w:eastAsia="en-US"/>
    </w:rPr>
  </w:style>
  <w:style w:type="table" w:styleId="TableGrid">
    <w:name w:val="Table Grid"/>
    <w:basedOn w:val="TableNormal"/>
    <w:uiPriority w:val="39"/>
    <w:rsid w:val="00B63F9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Mummuga loetelu,Table of contents numbered"/>
    <w:basedOn w:val="Normal"/>
    <w:link w:val="ListParagraphChar"/>
    <w:uiPriority w:val="34"/>
    <w:qFormat/>
    <w:rsid w:val="008606C5"/>
    <w:pPr>
      <w:ind w:left="720"/>
      <w:contextualSpacing/>
    </w:pPr>
  </w:style>
  <w:style w:type="character" w:customStyle="1" w:styleId="ListParagraphChar">
    <w:name w:val="List Paragraph Char"/>
    <w:aliases w:val="Mummuga loetelu Char,Table of contents numbered Char"/>
    <w:link w:val="ListParagraph"/>
    <w:uiPriority w:val="34"/>
    <w:locked/>
    <w:rsid w:val="008606C5"/>
    <w:rPr>
      <w:sz w:val="24"/>
      <w:lang w:eastAsia="en-US"/>
    </w:rPr>
  </w:style>
  <w:style w:type="paragraph" w:customStyle="1" w:styleId="Default">
    <w:name w:val="Default"/>
    <w:rsid w:val="008606C5"/>
    <w:pPr>
      <w:autoSpaceDE w:val="0"/>
      <w:autoSpaceDN w:val="0"/>
      <w:adjustRightInd w:val="0"/>
    </w:pPr>
    <w:rPr>
      <w:color w:val="000000"/>
      <w:sz w:val="24"/>
      <w:szCs w:val="24"/>
    </w:rPr>
  </w:style>
  <w:style w:type="paragraph" w:styleId="CommentText">
    <w:name w:val="annotation text"/>
    <w:basedOn w:val="Normal"/>
    <w:link w:val="CommentTextChar"/>
    <w:unhideWhenUsed/>
    <w:rsid w:val="008606C5"/>
    <w:rPr>
      <w:sz w:val="20"/>
    </w:rPr>
  </w:style>
  <w:style w:type="character" w:customStyle="1" w:styleId="CommentTextChar">
    <w:name w:val="Comment Text Char"/>
    <w:basedOn w:val="DefaultParagraphFont"/>
    <w:link w:val="CommentText"/>
    <w:rsid w:val="008606C5"/>
    <w:rPr>
      <w:lang w:eastAsia="en-US"/>
    </w:rPr>
  </w:style>
  <w:style w:type="paragraph" w:customStyle="1" w:styleId="Laad1">
    <w:name w:val="Laad1"/>
    <w:basedOn w:val="ListParagraph"/>
    <w:qFormat/>
    <w:rsid w:val="008606C5"/>
    <w:pPr>
      <w:numPr>
        <w:numId w:val="5"/>
      </w:numPr>
      <w:tabs>
        <w:tab w:val="num" w:pos="360"/>
      </w:tabs>
      <w:ind w:left="0" w:firstLine="0"/>
      <w:contextualSpacing w:val="0"/>
      <w:outlineLvl w:val="0"/>
    </w:pPr>
    <w:rPr>
      <w:b/>
      <w:bCs/>
      <w:szCs w:val="24"/>
      <w:lang w:eastAsia="et-EE"/>
    </w:rPr>
  </w:style>
  <w:style w:type="paragraph" w:customStyle="1" w:styleId="Laad2">
    <w:name w:val="Laad2"/>
    <w:basedOn w:val="ListParagraph"/>
    <w:link w:val="Laad2Mrk"/>
    <w:qFormat/>
    <w:rsid w:val="008606C5"/>
    <w:pPr>
      <w:numPr>
        <w:ilvl w:val="1"/>
        <w:numId w:val="5"/>
      </w:numPr>
      <w:ind w:left="0" w:firstLine="0"/>
    </w:pPr>
    <w:rPr>
      <w:szCs w:val="24"/>
      <w:lang w:eastAsia="et-EE"/>
    </w:rPr>
  </w:style>
  <w:style w:type="character" w:customStyle="1" w:styleId="Laad2Mrk">
    <w:name w:val="Laad2 Märk"/>
    <w:basedOn w:val="DefaultParagraphFont"/>
    <w:link w:val="Laad2"/>
    <w:rsid w:val="008606C5"/>
    <w:rPr>
      <w:sz w:val="24"/>
      <w:szCs w:val="24"/>
    </w:rPr>
  </w:style>
  <w:style w:type="character" w:styleId="CommentReference">
    <w:name w:val="annotation reference"/>
    <w:basedOn w:val="DefaultParagraphFont"/>
    <w:semiHidden/>
    <w:unhideWhenUsed/>
    <w:rsid w:val="00B50FB5"/>
    <w:rPr>
      <w:sz w:val="16"/>
      <w:szCs w:val="16"/>
    </w:rPr>
  </w:style>
  <w:style w:type="paragraph" w:styleId="BalloonText">
    <w:name w:val="Balloon Text"/>
    <w:basedOn w:val="Normal"/>
    <w:link w:val="BalloonTextChar"/>
    <w:semiHidden/>
    <w:unhideWhenUsed/>
    <w:rsid w:val="00B50FB5"/>
    <w:rPr>
      <w:rFonts w:ascii="Segoe UI" w:hAnsi="Segoe UI" w:cs="Segoe UI"/>
      <w:sz w:val="18"/>
      <w:szCs w:val="18"/>
    </w:rPr>
  </w:style>
  <w:style w:type="character" w:customStyle="1" w:styleId="BalloonTextChar">
    <w:name w:val="Balloon Text Char"/>
    <w:basedOn w:val="DefaultParagraphFont"/>
    <w:link w:val="BalloonText"/>
    <w:semiHidden/>
    <w:rsid w:val="00B50FB5"/>
    <w:rPr>
      <w:rFonts w:ascii="Segoe UI" w:hAnsi="Segoe UI" w:cs="Segoe UI"/>
      <w:sz w:val="18"/>
      <w:szCs w:val="18"/>
      <w:lang w:eastAsia="en-US"/>
    </w:rPr>
  </w:style>
  <w:style w:type="paragraph" w:styleId="CommentSubject">
    <w:name w:val="annotation subject"/>
    <w:basedOn w:val="CommentText"/>
    <w:next w:val="CommentText"/>
    <w:link w:val="CommentSubjectChar"/>
    <w:semiHidden/>
    <w:unhideWhenUsed/>
    <w:rsid w:val="00E62DE0"/>
    <w:rPr>
      <w:b/>
      <w:bCs/>
    </w:rPr>
  </w:style>
  <w:style w:type="character" w:customStyle="1" w:styleId="CommentSubjectChar">
    <w:name w:val="Comment Subject Char"/>
    <w:basedOn w:val="CommentTextChar"/>
    <w:link w:val="CommentSubject"/>
    <w:semiHidden/>
    <w:rsid w:val="00E62DE0"/>
    <w:rPr>
      <w:b/>
      <w:bCs/>
      <w:lang w:eastAsia="en-US"/>
    </w:rPr>
  </w:style>
  <w:style w:type="character" w:customStyle="1" w:styleId="expand19-200">
    <w:name w:val="expand19-200"/>
    <w:basedOn w:val="DefaultParagraphFont"/>
    <w:rsid w:val="00EE7E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riigiteataja.ee/akt/108072020008?leiaKehtiv"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0B504-3385-4E64-8DF2-FF96F0B1F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2222</Words>
  <Characters>12088</Characters>
  <Application>Microsoft Office Word</Application>
  <DocSecurity>0</DocSecurity>
  <Lines>234</Lines>
  <Paragraphs>76</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algatuskiri</vt:lpstr>
      <vt:lpstr>algatuskiri</vt:lpstr>
    </vt:vector>
  </TitlesOfParts>
  <Company>Siseministeerium</Company>
  <LinksUpToDate>false</LinksUpToDate>
  <CharactersWithSpaces>14276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algatuskiri</dc:title>
  <dc:creator>Kairi Sule</dc:creator>
  <cp:lastModifiedBy>Leili</cp:lastModifiedBy>
  <cp:revision>2</cp:revision>
  <cp:lastPrinted>2014-10-07T07:40:00Z</cp:lastPrinted>
  <dcterms:created xsi:type="dcterms:W3CDTF">2022-07-08T10:21:00Z</dcterms:created>
  <dcterms:modified xsi:type="dcterms:W3CDTF">2022-07-08T10:21:00Z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BeginDate">
    <vt:lpwstr>{JP kehtiv alates}</vt:lpwstr>
  </property>
  <property fmtid="{D5CDD505-2E9C-101B-9397-08002B2CF9AE}" pid="3" name="delta_accessRestrictionEndDate">
    <vt:lpwstr>{JP kehtiv kuni}</vt:lpwstr>
  </property>
  <property fmtid="{D5CDD505-2E9C-101B-9397-08002B2CF9AE}" pid="4" name="delta_accessRestrictionEndDesc">
    <vt:lpwstr>{JP kehtiv kuni kirjeldus}</vt:lpwstr>
  </property>
  <property fmtid="{D5CDD505-2E9C-101B-9397-08002B2CF9AE}" pid="5" name="delta_accessRestrictionReason">
    <vt:lpwstr>{JP alus}</vt:lpwstr>
  </property>
  <property fmtid="{D5CDD505-2E9C-101B-9397-08002B2CF9AE}" pid="6" name="delta_additionalRecipientEmail">
    <vt:lpwstr>{Saaja e-posti aadress}</vt:lpwstr>
  </property>
  <property fmtid="{D5CDD505-2E9C-101B-9397-08002B2CF9AE}" pid="7" name="delta_additionalRecipientEmail.1">
    <vt:lpwstr>{Saaja e-posti aadress}</vt:lpwstr>
  </property>
  <property fmtid="{D5CDD505-2E9C-101B-9397-08002B2CF9AE}" pid="8" name="delta_additionalRecipientName">
    <vt:lpwstr>{Lisaadressaat}</vt:lpwstr>
  </property>
  <property fmtid="{D5CDD505-2E9C-101B-9397-08002B2CF9AE}" pid="9" name="delta_additionalRecipientName.1">
    <vt:lpwstr>{Lisaadressaat}</vt:lpwstr>
  </property>
  <property fmtid="{D5CDD505-2E9C-101B-9397-08002B2CF9AE}" pid="10" name="delta_docName">
    <vt:lpwstr>{Pealkiri}</vt:lpwstr>
  </property>
  <property fmtid="{D5CDD505-2E9C-101B-9397-08002B2CF9AE}" pid="11" name="delta_ownerEmail">
    <vt:lpwstr>{Koostaja e-posti aadress}</vt:lpwstr>
  </property>
  <property fmtid="{D5CDD505-2E9C-101B-9397-08002B2CF9AE}" pid="12" name="delta_ownerName">
    <vt:lpwstr>{Koostaja nimi}</vt:lpwstr>
  </property>
  <property fmtid="{D5CDD505-2E9C-101B-9397-08002B2CF9AE}" pid="13" name="delta_ownerPhone">
    <vt:lpwstr>{Koostaja telefon}</vt:lpwstr>
  </property>
  <property fmtid="{D5CDD505-2E9C-101B-9397-08002B2CF9AE}" pid="14" name="delta_recipientEmai.1l">
    <vt:lpwstr>{Adressaadi e-posti aadress}</vt:lpwstr>
  </property>
  <property fmtid="{D5CDD505-2E9C-101B-9397-08002B2CF9AE}" pid="15" name="delta_recipientEmail">
    <vt:lpwstr>{Adressaadi e-posti aadress}</vt:lpwstr>
  </property>
  <property fmtid="{D5CDD505-2E9C-101B-9397-08002B2CF9AE}" pid="16" name="delta_recipientEmail.1">
    <vt:lpwstr>{Saaja e-posti aadress}</vt:lpwstr>
  </property>
  <property fmtid="{D5CDD505-2E9C-101B-9397-08002B2CF9AE}" pid="17" name="delta_recipientName">
    <vt:lpwstr>{Adressaat}</vt:lpwstr>
  </property>
  <property fmtid="{D5CDD505-2E9C-101B-9397-08002B2CF9AE}" pid="18" name="delta_recipientName.1">
    <vt:lpwstr>{Adressaat}</vt:lpwstr>
  </property>
  <property fmtid="{D5CDD505-2E9C-101B-9397-08002B2CF9AE}" pid="19" name="delta_regDateTime">
    <vt:lpwstr>{reg kpv}</vt:lpwstr>
  </property>
  <property fmtid="{D5CDD505-2E9C-101B-9397-08002B2CF9AE}" pid="20" name="delta_regNumber">
    <vt:lpwstr>{viit}</vt:lpwstr>
  </property>
  <property fmtid="{D5CDD505-2E9C-101B-9397-08002B2CF9AE}" pid="21" name="delta_senderRegDate">
    <vt:lpwstr>{Saatja reg kpv}</vt:lpwstr>
  </property>
  <property fmtid="{D5CDD505-2E9C-101B-9397-08002B2CF9AE}" pid="22" name="delta_senderRegNumber">
    <vt:lpwstr>{Saatja reg nr}</vt:lpwstr>
  </property>
  <property fmtid="{D5CDD505-2E9C-101B-9397-08002B2CF9AE}" pid="23" name="delta_signerJobTitle">
    <vt:lpwstr>{Allkirjastaja ametinimetus}</vt:lpwstr>
  </property>
  <property fmtid="{D5CDD505-2E9C-101B-9397-08002B2CF9AE}" pid="24" name="delta_signerName">
    <vt:lpwstr>{Allkirjastaja nimi}</vt:lpwstr>
  </property>
</Properties>
</file>